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4218"/>
      </w:tblGrid>
      <w:tr w:rsidR="009C2BD0" w:rsidRPr="009C2BD0" w14:paraId="21D42280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DF7B53" w14:textId="77777777" w:rsidR="009C2BD0" w:rsidRPr="009C2BD0" w:rsidRDefault="009C2BD0" w:rsidP="009C2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z-Cyrl-UZ" w:eastAsia="uz-Cyrl-U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8AEE0D" w14:textId="77777777" w:rsidR="009C2BD0" w:rsidRPr="009C2BD0" w:rsidRDefault="009C2BD0" w:rsidP="009C2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z-Cyrl-UZ" w:eastAsia="uz-Cyrl-UZ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08DB4CD5" w14:textId="2A7101E2" w:rsidR="009C2BD0" w:rsidRPr="009C2BD0" w:rsidRDefault="009C2BD0" w:rsidP="009C2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</w:pPr>
            <w:r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“</w:t>
            </w:r>
            <w:r w:rsidR="007170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O‘zbek</w:t>
            </w:r>
            <w:r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 xml:space="preserve"> </w:t>
            </w:r>
            <w:r w:rsidR="007170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geologiya</w:t>
            </w:r>
            <w:r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 xml:space="preserve"> </w:t>
            </w:r>
            <w:r w:rsidR="007170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qidiruv</w:t>
            </w:r>
            <w:r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 xml:space="preserve">” </w:t>
            </w:r>
            <w:r w:rsidR="007170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AJ</w:t>
            </w:r>
          </w:p>
          <w:p w14:paraId="601F2E44" w14:textId="45EAEBF1" w:rsidR="009C2BD0" w:rsidRPr="009C2BD0" w:rsidRDefault="007170DD" w:rsidP="009C2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Yagona</w:t>
            </w:r>
            <w:r w:rsidR="009C2BD0"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aksiyadorining</w:t>
            </w:r>
          </w:p>
          <w:p w14:paraId="273ECAF6" w14:textId="6065CBE5" w:rsidR="009C2BD0" w:rsidRPr="009C2BD0" w:rsidRDefault="009C2BD0" w:rsidP="009C2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</w:pPr>
            <w:r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2023-</w:t>
            </w:r>
            <w:r w:rsidR="007170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yil</w:t>
            </w:r>
            <w:r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 xml:space="preserve"> “____” </w:t>
            </w:r>
            <w:r w:rsidRPr="009C2BD0">
              <w:rPr>
                <w:rFonts w:ascii="Times New Roman" w:hAnsi="Times New Roman"/>
                <w:b/>
                <w:bCs/>
                <w:sz w:val="26"/>
                <w:szCs w:val="26"/>
                <w:lang w:val="en-US" w:eastAsia="ru-RU"/>
              </w:rPr>
              <w:t>_________</w:t>
            </w:r>
            <w:r w:rsidR="007170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dagi</w:t>
            </w:r>
          </w:p>
          <w:p w14:paraId="2EFCF431" w14:textId="675A6F49" w:rsidR="009C2BD0" w:rsidRPr="009C2BD0" w:rsidRDefault="009C2BD0" w:rsidP="009C2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</w:pPr>
            <w:r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_____ -</w:t>
            </w:r>
            <w:r w:rsidR="007170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son</w:t>
            </w:r>
            <w:r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 xml:space="preserve"> </w:t>
            </w:r>
            <w:r w:rsidR="007170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qaroriga</w:t>
            </w:r>
          </w:p>
          <w:p w14:paraId="3930D7D0" w14:textId="4CDDC6AA" w:rsidR="009C2BD0" w:rsidRPr="009C2BD0" w:rsidRDefault="009C2BD0" w:rsidP="009C2B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uz-Cyrl-UZ" w:eastAsia="uz-Cyrl-UZ"/>
              </w:rPr>
            </w:pPr>
            <w:r w:rsidRPr="009C2BD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1</w:t>
            </w:r>
            <w:r w:rsidRPr="009C2BD0">
              <w:rPr>
                <w:rFonts w:ascii="Times New Roman" w:hAnsi="Times New Roman"/>
                <w:b/>
                <w:bCs/>
                <w:sz w:val="26"/>
                <w:szCs w:val="26"/>
                <w:lang w:val="en-US" w:eastAsia="ru-RU"/>
              </w:rPr>
              <w:t>1</w:t>
            </w:r>
            <w:r w:rsidRPr="009C2BD0">
              <w:rPr>
                <w:rFonts w:ascii="Times New Roman" w:hAnsi="Times New Roman"/>
                <w:b/>
                <w:bCs/>
                <w:sz w:val="26"/>
                <w:szCs w:val="26"/>
                <w:lang w:val="uz-Cyrl-UZ" w:eastAsia="uz-Cyrl-UZ"/>
              </w:rPr>
              <w:t>-</w:t>
            </w:r>
            <w:r w:rsidR="007170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z-Cyrl-UZ" w:eastAsia="uz-Cyrl-UZ"/>
              </w:rPr>
              <w:t>ILOVA</w:t>
            </w:r>
            <w:r w:rsidRPr="009C2BD0">
              <w:rPr>
                <w:rFonts w:ascii="Times New Roman" w:hAnsi="Times New Roman"/>
                <w:b/>
                <w:bCs/>
                <w:lang w:val="uz-Cyrl-UZ" w:eastAsia="uz-Cyrl-UZ"/>
              </w:rPr>
              <w:t xml:space="preserve"> </w:t>
            </w:r>
          </w:p>
        </w:tc>
      </w:tr>
    </w:tbl>
    <w:p w14:paraId="623C5D78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lang w:val="uz-Cyrl-UZ" w:eastAsia="uz-Cyrl-UZ"/>
        </w:rPr>
      </w:pPr>
    </w:p>
    <w:p w14:paraId="40DA9DAF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sz w:val="26"/>
          <w:szCs w:val="26"/>
          <w:lang w:val="uz-Cyrl-UZ" w:eastAsia="uz-Cyrl-UZ"/>
        </w:rPr>
      </w:pPr>
    </w:p>
    <w:p w14:paraId="1DE01B4B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sz w:val="26"/>
          <w:szCs w:val="26"/>
          <w:lang w:val="uz-Cyrl-UZ" w:eastAsia="uz-Cyrl-UZ"/>
        </w:rPr>
      </w:pPr>
    </w:p>
    <w:p w14:paraId="3983C21F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sz w:val="26"/>
          <w:szCs w:val="26"/>
          <w:lang w:val="uz-Cyrl-UZ" w:eastAsia="uz-Cyrl-UZ"/>
        </w:rPr>
      </w:pPr>
    </w:p>
    <w:p w14:paraId="0EBAE9BE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sz w:val="26"/>
          <w:szCs w:val="26"/>
          <w:lang w:val="uz-Cyrl-UZ" w:eastAsia="uz-Cyrl-UZ"/>
        </w:rPr>
      </w:pPr>
    </w:p>
    <w:p w14:paraId="33A5E6A1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sz w:val="26"/>
          <w:szCs w:val="26"/>
          <w:lang w:val="uz-Cyrl-UZ" w:eastAsia="uz-Cyrl-UZ"/>
        </w:rPr>
      </w:pPr>
    </w:p>
    <w:p w14:paraId="7E8D88B3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sz w:val="26"/>
          <w:szCs w:val="26"/>
          <w:lang w:val="uz-Cyrl-UZ" w:eastAsia="uz-Cyrl-UZ"/>
        </w:rPr>
      </w:pPr>
    </w:p>
    <w:p w14:paraId="16C22F8B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sz w:val="26"/>
          <w:szCs w:val="26"/>
          <w:lang w:val="uz-Cyrl-UZ" w:eastAsia="uz-Cyrl-UZ"/>
        </w:rPr>
      </w:pPr>
    </w:p>
    <w:p w14:paraId="32A6AC5B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sz w:val="26"/>
          <w:szCs w:val="26"/>
          <w:lang w:val="uz-Cyrl-UZ" w:eastAsia="uz-Cyrl-UZ"/>
        </w:rPr>
      </w:pPr>
    </w:p>
    <w:p w14:paraId="3F2EF620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bCs/>
          <w:sz w:val="26"/>
          <w:szCs w:val="26"/>
          <w:lang w:val="uz-Cyrl-UZ" w:eastAsia="uz-Cyrl-UZ"/>
        </w:rPr>
      </w:pPr>
    </w:p>
    <w:p w14:paraId="07A50604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uz-Cyrl-UZ" w:eastAsia="uz-Cyrl-UZ"/>
        </w:rPr>
      </w:pPr>
    </w:p>
    <w:p w14:paraId="60E47981" w14:textId="1092EB92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</w:pPr>
      <w:r w:rsidRPr="009C2BD0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>“</w:t>
      </w:r>
      <w:r w:rsidR="007170DD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>O‘ZBEK</w:t>
      </w:r>
      <w:r w:rsidRPr="009C2BD0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>GEOLOGIYA</w:t>
      </w:r>
      <w:r w:rsidR="007170DD" w:rsidRPr="009C2BD0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>QIDIRUV</w:t>
      </w:r>
      <w:r w:rsidRPr="009C2BD0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 xml:space="preserve">” </w:t>
      </w:r>
      <w:r w:rsidR="007170DD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>AKSIYADORLIK</w:t>
      </w:r>
      <w:r w:rsidR="007170DD" w:rsidRPr="009C2BD0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>JAMIYATI</w:t>
      </w:r>
    </w:p>
    <w:p w14:paraId="38163097" w14:textId="77113435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>IJROIYA</w:t>
      </w:r>
      <w:r w:rsidRPr="009C2BD0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>ORGANI</w:t>
      </w:r>
      <w:r w:rsidR="009C2BD0" w:rsidRPr="009C2BD0"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val="uz-Cyrl-UZ" w:eastAsia="uz-Cyrl-UZ"/>
        </w:rPr>
        <w:t>TO‘G‘RISIDAGI</w:t>
      </w:r>
    </w:p>
    <w:p w14:paraId="4652EBD1" w14:textId="62A52D5A" w:rsidR="009C2BD0" w:rsidRPr="009C2BD0" w:rsidRDefault="007170DD" w:rsidP="009C2B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z-Cyrl-UZ" w:eastAsia="uz-Cyrl-UZ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z-Cyrl-UZ" w:eastAsia="uz-Cyrl-UZ"/>
        </w:rPr>
        <w:t>NIZOMI</w:t>
      </w:r>
    </w:p>
    <w:p w14:paraId="762D9E65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4F2270FE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7755941D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2920268E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5173DF8A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655395AF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52A251A2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3822A5BE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243D4776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5DEB40BF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251FD926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51DA40A6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3CEF02D6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384CA01D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6EA7403D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21585DD9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561500B5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7EC90667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010797C8" w14:textId="77777777" w:rsidR="009C2BD0" w:rsidRPr="009C2BD0" w:rsidRDefault="009C2BD0" w:rsidP="009C2BD0">
      <w:pPr>
        <w:tabs>
          <w:tab w:val="left" w:pos="552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uz-Cyrl-UZ"/>
        </w:rPr>
      </w:pPr>
    </w:p>
    <w:p w14:paraId="1B567899" w14:textId="3282C70E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z-Cyrl-UZ" w:eastAsia="uz-Cyrl-U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z-Cyrl-UZ" w:eastAsia="uz-Cyrl-UZ"/>
        </w:rPr>
        <w:t>Toshkent</w:t>
      </w:r>
      <w:r w:rsidR="009C2BD0" w:rsidRPr="009C2BD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z-Cyrl-UZ" w:eastAsia="uz-Cyrl-UZ"/>
        </w:rPr>
        <w:t>-2023</w:t>
      </w:r>
    </w:p>
    <w:p w14:paraId="5F5D4E1D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b/>
          <w:bCs/>
          <w:sz w:val="26"/>
          <w:szCs w:val="26"/>
          <w:lang w:val="uz-Cyrl-UZ" w:eastAsia="uz-Cyrl-UZ"/>
        </w:rPr>
      </w:pPr>
    </w:p>
    <w:p w14:paraId="198A8D49" w14:textId="29A99D6C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I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.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UMUMIY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QOIDALAR</w:t>
      </w:r>
    </w:p>
    <w:p w14:paraId="735AE41C" w14:textId="4BFCA7B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hAnsi="Times New Roman"/>
          <w:sz w:val="26"/>
          <w:szCs w:val="26"/>
          <w:lang w:val="uz-Cyrl-UZ" w:eastAsia="uz-Cyrl-UZ"/>
        </w:rPr>
        <w:t xml:space="preserve">1.1.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Mazkur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Nizom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“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geologiya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qidiruv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”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br/>
        <w:t>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keyingi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o‘rinlarda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–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ijro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etuvchi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Ijroiya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maqomini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faoliyat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tartibini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majburiyatlarini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shuningdek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Ijroiya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qabul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tartib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taomilini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belgilaydi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. </w:t>
      </w:r>
    </w:p>
    <w:p w14:paraId="00EE0807" w14:textId="3BBD547D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Ijroiya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organi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deganda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kollegial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asosda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boshchilik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qiluvchi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tushuniladi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Agar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ustavida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o‘zgacha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hol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nazarda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tutilmagan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bo‘lsa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shartnoma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shartlari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belgilanadi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6B69FC7" w14:textId="5C3B479F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1.2.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Nizom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“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himoya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”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Prezidentining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2023-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23-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martdagi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PQ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-101-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Qaroriga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Ustaviga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muvofiq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ishlab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chiqilgan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671C67B7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</w:p>
    <w:p w14:paraId="47C3B54A" w14:textId="1B4DD197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II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.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BOSHQARUVINI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TASHKIL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ETISH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TARTIBI</w:t>
      </w:r>
    </w:p>
    <w:p w14:paraId="3A0EC19B" w14:textId="10345C75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hAnsi="Times New Roman"/>
          <w:sz w:val="26"/>
          <w:szCs w:val="26"/>
          <w:lang w:val="uz-Cyrl-UZ" w:eastAsia="uz-Cyrl-UZ"/>
        </w:rPr>
        <w:t>2.1.</w:t>
      </w:r>
      <w:r w:rsidRPr="009C2BD0">
        <w:rPr>
          <w:rFonts w:ascii="Times New Roman" w:hAnsi="Times New Roman"/>
          <w:sz w:val="26"/>
          <w:szCs w:val="26"/>
          <w:lang w:val="uz-Cyrl-UZ" w:eastAsia="uz-Cyrl-UZ"/>
        </w:rPr>
        <w:tab/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kundalik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faoliyatiga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rahbarlik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kollegial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–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amalga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oshiriladi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63263C76" w14:textId="1BB2D3F5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6 (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olti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kishidan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iborat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bo‘lib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uch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yil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muddatga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saylanadilar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tayinlanadilar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).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surunkasiga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ikki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muddatdan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ortiq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bo‘lishi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mumkin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emas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CEA5CF3" w14:textId="1E3760F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2.2. 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umumiy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o‘rinbosarlari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saylanadilar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tayinlanadilar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).</w:t>
      </w:r>
    </w:p>
    <w:p w14:paraId="55FCA733" w14:textId="7717B86E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2.3.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o‘rinbosarlari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bilan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mehnat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shartnomasini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nomidan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imzolaydi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58A72FF5" w14:textId="5B1C8803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2.4.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6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kishidan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iborat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o‘rinbosarlari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tarkibiy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tuzilmalari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br/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xodimlari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ichidan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shakllantiriladi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20E7C171" w14:textId="3B3D3FB0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2.5. 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o‘rinbosarlari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tayinlash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tariqasida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xorijiy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menejerlar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ishtirok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mumkin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tanlov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bo‘yicha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saralash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asosida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amalga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oshiriladi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Bunda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lavozimlariga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kamida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3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nafar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malakali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xorijiy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mutaxassislar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jalb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qilinadi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75F4D40E" w14:textId="208C0DBC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a’zoligiga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saylanadigan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nomzodlarga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qo‘yiladigan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talab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tanlash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saralash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mezonlari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Davlat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aktivlarini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boshqarish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agentligi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bilan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kelishilgan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holda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amalga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oshiriladi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C780C47" w14:textId="0F170C04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Tanlov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quyidagi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bosqichlarda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o‘tkaziladi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:</w:t>
      </w:r>
    </w:p>
    <w:p w14:paraId="347BEEEA" w14:textId="1AFE830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) 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Tanlov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o‘tkazish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bo‘yicha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e’lon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Davlat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aktivlarini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agentligi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qimmatli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qog‘ozlar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bozorini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muvofiqlashtirish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bo‘yicha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davlat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saytlarida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OAVda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veb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saytida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beriladi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E’lon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10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kundan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kam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bo‘lmagan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muddatga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joylashtiriladi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118948CC" w14:textId="52CCC1CF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Kelib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tushgan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takliflar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ko‘rib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chiqilib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o‘rinbosarlari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)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saylash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bo‘yicha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qabul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qilinadi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raisligiga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nomzodlarni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ko‘rib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chiqish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umumiy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Yagona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)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kiritiladi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5ABA8004" w14:textId="2C72399D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umumiy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Yagona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saylash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bo‘yicha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yakuniy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qabul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qilinadi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3FCE055A" w14:textId="1A9D6FC3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lastRenderedPageBreak/>
        <w:t xml:space="preserve"> 2.6.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a’zoligiga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tanlov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o‘tkazishda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nomzodlar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umumiy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Yagona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roziligi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bilan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tanlov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o‘tkazishda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ishtirok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etishlari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mumkin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5DB016C0" w14:textId="5E9A58F2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III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.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VA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UNING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A’ZOLARI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HUQUQLARI</w:t>
      </w:r>
    </w:p>
    <w:p w14:paraId="4765A169" w14:textId="030C7318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VA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MAJBURIYATLARI</w:t>
      </w:r>
    </w:p>
    <w:p w14:paraId="20EE14EF" w14:textId="2CA7D82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hAnsi="Times New Roman"/>
          <w:sz w:val="26"/>
          <w:szCs w:val="26"/>
          <w:lang w:val="uz-Cyrl-UZ" w:eastAsia="uz-Cyrl-UZ"/>
        </w:rPr>
        <w:t xml:space="preserve">3.1.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kundalik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faoliyatiga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rahbarlik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doir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barcha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masalalar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kiradi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umumiy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doirasiga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kiritilgan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masalalar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bundan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mustasno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68A5DBDB" w14:textId="18E15F01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3.3.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umumiy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qarorlari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bajarilishini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ta’minlaydi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3DF041E4" w14:textId="55C72B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3.4.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:</w:t>
      </w:r>
    </w:p>
    <w:p w14:paraId="451C9FCB" w14:textId="7AED4A1D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doirasida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rahbarlik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762B1206" w14:textId="0E95410A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nomidan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ishonchnomasiz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yuritish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jumladan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manfaatlarini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ifodalash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6D5F63DE" w14:textId="2DD61566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nomidan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ishonchnomalarni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berish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7F8726DE" w14:textId="785E4C60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doirasida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nomidan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bitimlar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tuzish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7EEB1026" w14:textId="2F6201E8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xodimlarni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qabul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bilan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mehnat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shartnomalarni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tuzish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br/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bekor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ularga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nisbatan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intizomiy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jazo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choralarini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qo‘llash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xodimlar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mehnat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ijro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intizomini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saqlab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turishini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ta’minlash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1AD78B9A" w14:textId="5654560B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filiali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vakolatxonasi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shtatlarini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tasdiqlash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rahbarini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tayinlash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5A1347EB" w14:textId="484B88DB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barcha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xodimlari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bajarishi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buyruqlar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farmoyishlar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qabul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ko‘rsatmalar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berish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30BAEC52" w14:textId="280CC8C6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yig‘ilishlarida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ishtirok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0E08D97D" w14:textId="6A6AFB81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banklarda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hisob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raqamlar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milliy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xorijiy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valyuta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hisob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raqamlar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ochish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048C3FC5" w14:textId="10D7108F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bank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moliya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birinchi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imzo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13771441" w14:textId="66B251E1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davlat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statistika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hisoboti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buxgalteriya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hisobotini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tegishli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organlarga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to‘liq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vaqtida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taqdim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etilishini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ta’minlash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5A50B11E" w14:textId="078A0D4E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xodimlarining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ijtimoiy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kafolatlariga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rioya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qilinishini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br/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mehnatini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muhofaza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ta’minlash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64A7ABE1" w14:textId="6E0A894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doirasida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samarali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barqaror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ishlashini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ta’minlash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0F79CABB" w14:textId="52BD5B2C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hamda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ichki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rioya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E63224D" w14:textId="714441D9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qonun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ustavi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me’yoriy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hujjatlariga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muvofiq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vakolatlar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huquqlar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majburiyatlarga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ham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ega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bo‘lishi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mumkin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C27D0EB" w14:textId="0C14FA06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3.5.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quyidagilar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kiradi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:</w:t>
      </w:r>
    </w:p>
    <w:p w14:paraId="2E86A542" w14:textId="60C70A5C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doirasida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mol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mulki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pul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mablag‘larini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tasarruf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7E7E9F4D" w14:textId="5092BF7D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tarkibiy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bo‘linmalar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nizomlar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xodimlarning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lavozim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yo‘riqnomalarini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tasdiqlash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5AB2545E" w14:textId="59AE7996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lastRenderedPageBreak/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ichki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me’yoriy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tasdiqlash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umumiy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kiritilgan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ichki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me’yoriy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tasdiqlash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bundan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mustasno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065B7CAF" w14:textId="52D7E895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vakolatxonalar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filiallar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uchun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qarorlarini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qabul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7ECAF394" w14:textId="36378703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rivojlantirish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dasturlari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biznes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rejalarini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ishlab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chiqish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bajarilishini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nazorat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4AEF62D6" w14:textId="7AB79910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tasdiqlangan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biznes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rejada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ko‘rsatilgan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miqdorlarda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foyda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olishni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ta’minlash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5CAF7F23" w14:textId="3D0F5316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qonunchilikka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muvofiq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buxgalteriya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hisobi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hisobotining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tashkil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ishonchliligini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hamda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kreditorlarga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oluvchilarga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yuboriladigan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faoliyati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ma’lumotlar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taqdim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etilishini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ta’minlash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53AD41EC" w14:textId="04C5EE52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moliya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xo‘jalik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faoliyati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yagona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Taftish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komissiyasi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auditori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talabiga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to‘sqinliksiz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taqdim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38C6DD44" w14:textId="0979DCA5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mulkini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begonalashtirish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sotish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shakli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mexanizmi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ustav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kapitaliga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uchinchi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shaxslar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investitsiya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kiritish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bo‘yicha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kelishuvlarni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bitim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shartnoma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memorandum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tarzda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bilan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kelishilgandan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keyin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tuzish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40234E13" w14:textId="12BD8BD4" w:rsidR="009C2BD0" w:rsidRPr="009C2BD0" w:rsidRDefault="009C2BD0" w:rsidP="009C2BD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qiymati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100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mln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so‘mgacha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homiylik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xayriya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beg‘araz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yordam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ko‘rsatish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qarorlarni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haqda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barcha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uchun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ma’lumotlarni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oshkor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tarzda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qabul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Bunda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homiylikka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sarflanadigan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yilgi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xarajatlari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o‘tgan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yilda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olingan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sof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foydaning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3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foizidan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oshmasligi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kerak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hamda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xarajatlar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biznes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-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rejasining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o‘tgan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hisobot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davridagi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sof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foydaga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taalluqli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qismi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ko‘rsatkichlari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bajarilganda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amalga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oshiriladi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2576F69C" w14:textId="3E5C18AB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tijorat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sirini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tashkil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etuvchi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axborotlarni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saqlash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5FDF91FE" w14:textId="2FE99FEC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dividendlar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hisoblanishi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to‘lanishi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bo‘yicha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barcha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rioya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1EF09684" w14:textId="49F591D0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doirasida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samarali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barqaror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ishlashini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ta’minlash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0ECB063F" w14:textId="3AE6F280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hamda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ichki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rioya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1DBB4C85" w14:textId="69C3477B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qanday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bitim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tuzilishida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bevosita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tegishli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qanday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masalada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muhim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manfaatdorligi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bilvosita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uchinchi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shaxslar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nomidan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ma’lumotlarni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yetkazish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3573558C" w14:textId="5B8B061B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reputatsiya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risklarini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24A59D6C" w14:textId="485C8342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-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mazkur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ustav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me’yoriy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muvofiq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vakolatlar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majburiyatlarga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mumkin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00950F9B" w14:textId="5D30E874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3.6.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amalga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oshirishda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br/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majburiyatlarini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bajarishda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manfaatlarini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ko‘zlab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tutishi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lozim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ushbu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ustavga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muvofiq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oldida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javobgardir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718458D7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b/>
          <w:bCs/>
          <w:sz w:val="26"/>
          <w:szCs w:val="26"/>
          <w:lang w:val="uz-Cyrl-UZ" w:eastAsia="uz-Cyrl-UZ"/>
        </w:rPr>
      </w:pPr>
    </w:p>
    <w:p w14:paraId="7D511E66" w14:textId="6C4C4FDA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IV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. 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BOSHQARUVINING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ISH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TARTIBI</w:t>
      </w:r>
    </w:p>
    <w:p w14:paraId="2C0822D2" w14:textId="55806D99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hAnsi="Times New Roman"/>
          <w:sz w:val="26"/>
          <w:szCs w:val="26"/>
          <w:lang w:val="uz-Cyrl-UZ" w:eastAsia="uz-Cyrl-UZ"/>
        </w:rPr>
        <w:t xml:space="preserve">4.1.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majlislari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zarur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hollarda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o‘tkaziladi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F2C9E31" w14:textId="50E23C1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lastRenderedPageBreak/>
        <w:t xml:space="preserve">4.2.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majlislari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kvorumi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75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foiz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majlislarni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ko‘rib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chiqilayotgan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masalalarning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tegishliligicha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o‘rinbosarlaridan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o‘tkazadi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7DBD97B6" w14:textId="53802C51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4.3.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majlislari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bayonnomalari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kotibi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yuritiladi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6D72201E" w14:textId="30864CF5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4.4.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majlislari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bayonnomalari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:</w:t>
      </w:r>
    </w:p>
    <w:p w14:paraId="4E471A9B" w14:textId="7A0F7045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4.4.1.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taftish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komissiyasi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talabiga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;</w:t>
      </w:r>
    </w:p>
    <w:p w14:paraId="18D481F4" w14:textId="100A28AE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4.4.2.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amaldagi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ab/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nazarda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tutilgan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hollarda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shaxslar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organlarga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jumladan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davlat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taqdim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2B8A38B8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b/>
          <w:bCs/>
          <w:sz w:val="26"/>
          <w:szCs w:val="26"/>
          <w:lang w:val="uz-Cyrl-UZ" w:eastAsia="uz-Cyrl-UZ"/>
        </w:rPr>
      </w:pPr>
    </w:p>
    <w:p w14:paraId="70AEC4D4" w14:textId="726B03F7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V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.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BOSHQARUVI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A’ZOLARINING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JAVOBGARLIGI</w:t>
      </w:r>
    </w:p>
    <w:p w14:paraId="7BC1FEFC" w14:textId="54413D1C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hAnsi="Times New Roman"/>
          <w:sz w:val="26"/>
          <w:szCs w:val="26"/>
          <w:lang w:val="uz-Cyrl-UZ" w:eastAsia="uz-Cyrl-UZ"/>
        </w:rPr>
        <w:t xml:space="preserve">5.1.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amalga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oshirishda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majburiyatlarini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bajarishda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manfaatlarini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ko‘zlab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tutishi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hamda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belgilangan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tartibda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javobgar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lozim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raisi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a’zolarining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harakati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harakatsizligi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natijasida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manfaatlariga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yetkazilgan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qanday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zarar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ziyon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oqibatida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yuzaga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keluvchi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jarima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penya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majburiy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to‘lovlar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uchun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ushbu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shaxslarning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subsidiar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javobgarligini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bilan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tuziladigan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mehnat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shartnomalarida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ko‘zda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tutiladi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5C60010E" w14:textId="54CF232F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5.2.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faoliyati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davrida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mahsulotlarini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sotish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xizmatlar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taqdim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qiyinchilik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tug‘diradigan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korxonalarni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ta’sis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ta’sis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qatnashish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huquqiga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emaslar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lavozimga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tayinlanganda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xuddi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shunday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korxonalardagi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ishtirokini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to‘xtatishi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to‘xtatish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kuzatuv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kengashini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xabardor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qilmog‘i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lozim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6A156B7F" w14:textId="178B4749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5.3.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bilan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bitim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tuzishda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affillangan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ekanligi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tuzilishi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kutilayotgan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bitim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haqidagi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ma’lumotlarni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jumladan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bitimda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ishtirok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etayotgan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shaxslar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bitim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predmeti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ma’lumotlarni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tegishli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shartnomaning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muhim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shartlarini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batafsil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ko‘rsatgan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holda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yozma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bildirish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yuborish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orqali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xabardor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shart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52C9D92D" w14:textId="0758457A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a’zosi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affillanganligi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“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Aksiyadorlik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jamiyatlari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aksiyadorlarning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huquqlarini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himoya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”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gi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qonuni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9-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bobining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talablariga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muvofiq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z-Cyrl-UZ" w:eastAsia="uz-Cyrl-UZ"/>
        </w:rPr>
        <w:t>aniqlanadi</w:t>
      </w:r>
      <w:r w:rsidR="009C2BD0"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249D7EB9" w14:textId="2E90F0C9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5.4.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vazifalarini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bajarmaganligi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zarur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darajada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bajarmaganligi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natijasida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yetkazilgan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zarar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uchun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amaldagi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ustaviga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mazkur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Nizomga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muvofiq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yetkazilgan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zararni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qoplash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bo‘yicha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to‘liq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hajmda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oldida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javobgardir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9133DD9" w14:textId="43729820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5.5.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zarar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yetkazilishiga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sabab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qarorga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ovoz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berishda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ishtirok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etmagan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ushbu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qarorga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qarshi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ovoz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bergan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javobgar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bo‘lmaydi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023881FB" w14:textId="2395FF5D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5.6.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yoki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joylashtirgan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hammasi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bo‘lib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kamida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foiziga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egalik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qiluvchi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(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)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yetkazilgan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zararlarning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o‘rnini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qoplash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da’vo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bilan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Boshqaruv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a’zosi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ustidan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sudga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murojaat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qilishga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haqli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CDF2CFC" w14:textId="77777777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</w:p>
    <w:p w14:paraId="28CD9F3C" w14:textId="2C7B9D66" w:rsidR="009C2BD0" w:rsidRPr="009C2BD0" w:rsidRDefault="007170DD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VI</w:t>
      </w:r>
      <w:r w:rsidR="009C2BD0"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.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YAKUNIY</w:t>
      </w:r>
      <w:r w:rsidRPr="009C2BD0"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uz-Cyrl-UZ"/>
        </w:rPr>
        <w:t>QOIDALAR</w:t>
      </w:r>
    </w:p>
    <w:p w14:paraId="7362898D" w14:textId="65FE0759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hAnsi="Times New Roman"/>
          <w:sz w:val="26"/>
          <w:szCs w:val="26"/>
          <w:lang w:val="uz-Cyrl-UZ" w:eastAsia="uz-Cyrl-UZ"/>
        </w:rPr>
        <w:t xml:space="preserve">6.1.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Mazkur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Nizom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umumiy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tasdiqlangan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kundan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e’tiboran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kuchga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kiradi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2643CE60" w14:textId="3EB890AD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6.2.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Agar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mazkur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Nizomni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biron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bir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qoidasi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kuchini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yo‘qotgan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bo‘lsa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bu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qoidalarni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tugatish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uchun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sabab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bo‘lmaydi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1250FEF0" w14:textId="0A80AFC3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lastRenderedPageBreak/>
        <w:t xml:space="preserve">6.3.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Agar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qonunchilik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yoxud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ustavida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mazkur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Nizomda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nazarda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tutilganidan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boshqacha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qoidalar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belgilangan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bo‘lsa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O‘zbekiston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Respublikasining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amaldagi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qonunchilik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hujjatlari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ustavi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qoidalari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qo‘llaniladi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850EA4B" w14:textId="2C9DE65B" w:rsidR="009C2BD0" w:rsidRPr="009C2BD0" w:rsidRDefault="009C2BD0" w:rsidP="009C2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uz-Cyrl-UZ"/>
        </w:rPr>
      </w:pP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6.4.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Mazkur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Nizom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kuchga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kirgan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kundan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boshlab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,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avval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aksiyadorlarning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umumiy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yig‘ilishi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tomonidan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tasdiqlangan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Jamiyat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“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Ijroiya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organi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to‘g‘risida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»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gi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nizom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unga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kiritilgan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o‘zgartish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va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qo‘shimchalar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o‘z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kuchini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 xml:space="preserve"> </w:t>
      </w:r>
      <w:r w:rsidR="007170DD">
        <w:rPr>
          <w:rFonts w:ascii="Times New Roman" w:eastAsia="Times New Roman" w:hAnsi="Times New Roman"/>
          <w:sz w:val="26"/>
          <w:szCs w:val="26"/>
          <w:lang w:val="uz-Cyrl-UZ" w:eastAsia="uz-Cyrl-UZ"/>
        </w:rPr>
        <w:t>yo‘qotadi</w:t>
      </w:r>
      <w:r w:rsidRPr="009C2BD0">
        <w:rPr>
          <w:rFonts w:ascii="Times New Roman" w:eastAsia="Times New Roman" w:hAnsi="Times New Roman"/>
          <w:sz w:val="26"/>
          <w:szCs w:val="26"/>
          <w:lang w:val="uz-Cyrl-UZ" w:eastAsia="uz-Cyrl-UZ"/>
        </w:rPr>
        <w:t>.</w:t>
      </w:r>
    </w:p>
    <w:p w14:paraId="4F807427" w14:textId="68E8C521" w:rsidR="00EA49D8" w:rsidRPr="009C2BD0" w:rsidRDefault="00EA49D8" w:rsidP="009C2BD0">
      <w:pPr>
        <w:rPr>
          <w:lang w:val="uz-Cyrl-UZ"/>
        </w:rPr>
      </w:pPr>
    </w:p>
    <w:sectPr w:rsidR="00EA49D8" w:rsidRPr="009C2BD0" w:rsidSect="007B628C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378F" w14:textId="77777777" w:rsidR="00852941" w:rsidRDefault="00852941" w:rsidP="007B628C">
      <w:pPr>
        <w:spacing w:after="0" w:line="240" w:lineRule="auto"/>
      </w:pPr>
      <w:r>
        <w:separator/>
      </w:r>
    </w:p>
  </w:endnote>
  <w:endnote w:type="continuationSeparator" w:id="0">
    <w:p w14:paraId="0026F520" w14:textId="77777777" w:rsidR="00852941" w:rsidRDefault="00852941" w:rsidP="007B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D110" w14:textId="77777777" w:rsidR="00460114" w:rsidRPr="00A51201" w:rsidRDefault="00460114" w:rsidP="007B628C">
    <w:pPr>
      <w:pStyle w:val="aa"/>
      <w:jc w:val="right"/>
      <w:rPr>
        <w:rFonts w:ascii="Times New Roman" w:hAnsi="Times New Roman"/>
        <w:b/>
        <w:i/>
        <w:sz w:val="20"/>
        <w:szCs w:val="20"/>
        <w:lang w:val="uz-Cyrl-UZ"/>
      </w:rPr>
    </w:pPr>
    <w:r w:rsidRPr="00A51201">
      <w:rPr>
        <w:rFonts w:ascii="Times New Roman" w:hAnsi="Times New Roman"/>
        <w:sz w:val="20"/>
        <w:szCs w:val="20"/>
        <w:lang w:val="uz-Cyrl-UZ"/>
      </w:rPr>
      <w:t>“Ўзбек геология қидирув” АЖ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A4A7" w14:textId="77777777" w:rsidR="00852941" w:rsidRDefault="00852941" w:rsidP="007B628C">
      <w:pPr>
        <w:spacing w:after="0" w:line="240" w:lineRule="auto"/>
      </w:pPr>
      <w:r>
        <w:separator/>
      </w:r>
    </w:p>
  </w:footnote>
  <w:footnote w:type="continuationSeparator" w:id="0">
    <w:p w14:paraId="6B5684AB" w14:textId="77777777" w:rsidR="00852941" w:rsidRDefault="00852941" w:rsidP="007B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D2D91"/>
    <w:multiLevelType w:val="hybridMultilevel"/>
    <w:tmpl w:val="9E20B06E"/>
    <w:lvl w:ilvl="0" w:tplc="18D61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A3"/>
    <w:rsid w:val="0000677E"/>
    <w:rsid w:val="00056068"/>
    <w:rsid w:val="000D1BAA"/>
    <w:rsid w:val="000D70E3"/>
    <w:rsid w:val="000F58A7"/>
    <w:rsid w:val="00127576"/>
    <w:rsid w:val="00134BAA"/>
    <w:rsid w:val="00143124"/>
    <w:rsid w:val="00151AAA"/>
    <w:rsid w:val="00164818"/>
    <w:rsid w:val="001F6F2D"/>
    <w:rsid w:val="002236EA"/>
    <w:rsid w:val="00247CDA"/>
    <w:rsid w:val="002A5DAD"/>
    <w:rsid w:val="002C1107"/>
    <w:rsid w:val="002C428D"/>
    <w:rsid w:val="00315BC5"/>
    <w:rsid w:val="0034052E"/>
    <w:rsid w:val="0038178D"/>
    <w:rsid w:val="003A0B44"/>
    <w:rsid w:val="00405ACC"/>
    <w:rsid w:val="004143E1"/>
    <w:rsid w:val="00431DF7"/>
    <w:rsid w:val="00460114"/>
    <w:rsid w:val="00465AEA"/>
    <w:rsid w:val="00483891"/>
    <w:rsid w:val="004B2762"/>
    <w:rsid w:val="004C280E"/>
    <w:rsid w:val="004E5A03"/>
    <w:rsid w:val="00511A4B"/>
    <w:rsid w:val="005241C8"/>
    <w:rsid w:val="0058710B"/>
    <w:rsid w:val="00597F23"/>
    <w:rsid w:val="005B23B0"/>
    <w:rsid w:val="005B4000"/>
    <w:rsid w:val="005D3828"/>
    <w:rsid w:val="005D452C"/>
    <w:rsid w:val="005E05E8"/>
    <w:rsid w:val="00605B8F"/>
    <w:rsid w:val="006062E4"/>
    <w:rsid w:val="00612BA4"/>
    <w:rsid w:val="00636292"/>
    <w:rsid w:val="00651FD2"/>
    <w:rsid w:val="00653D66"/>
    <w:rsid w:val="00693DDC"/>
    <w:rsid w:val="006B11B3"/>
    <w:rsid w:val="006E21AC"/>
    <w:rsid w:val="007077A3"/>
    <w:rsid w:val="007170DD"/>
    <w:rsid w:val="007401E6"/>
    <w:rsid w:val="00746EBF"/>
    <w:rsid w:val="00770AA0"/>
    <w:rsid w:val="00775CB6"/>
    <w:rsid w:val="007B628C"/>
    <w:rsid w:val="007D2061"/>
    <w:rsid w:val="007E282B"/>
    <w:rsid w:val="007F7ABD"/>
    <w:rsid w:val="00807259"/>
    <w:rsid w:val="00815421"/>
    <w:rsid w:val="00826E0F"/>
    <w:rsid w:val="00852941"/>
    <w:rsid w:val="008703AC"/>
    <w:rsid w:val="00875E19"/>
    <w:rsid w:val="00894AC5"/>
    <w:rsid w:val="008D236C"/>
    <w:rsid w:val="00940429"/>
    <w:rsid w:val="0097101F"/>
    <w:rsid w:val="009747B0"/>
    <w:rsid w:val="00991C93"/>
    <w:rsid w:val="009930DE"/>
    <w:rsid w:val="00993428"/>
    <w:rsid w:val="00995AA4"/>
    <w:rsid w:val="009C2BD0"/>
    <w:rsid w:val="009F6FB1"/>
    <w:rsid w:val="00A36002"/>
    <w:rsid w:val="00A51201"/>
    <w:rsid w:val="00A61C02"/>
    <w:rsid w:val="00A71C2B"/>
    <w:rsid w:val="00A97FBC"/>
    <w:rsid w:val="00AA3BE6"/>
    <w:rsid w:val="00AD5BA1"/>
    <w:rsid w:val="00B009EB"/>
    <w:rsid w:val="00B166A5"/>
    <w:rsid w:val="00B50CA6"/>
    <w:rsid w:val="00B53AD5"/>
    <w:rsid w:val="00B835D4"/>
    <w:rsid w:val="00BB69F4"/>
    <w:rsid w:val="00BB70C8"/>
    <w:rsid w:val="00C03F2A"/>
    <w:rsid w:val="00C41AA2"/>
    <w:rsid w:val="00C51601"/>
    <w:rsid w:val="00C86BC9"/>
    <w:rsid w:val="00C87F08"/>
    <w:rsid w:val="00CB11D7"/>
    <w:rsid w:val="00D11B30"/>
    <w:rsid w:val="00D40173"/>
    <w:rsid w:val="00DD140C"/>
    <w:rsid w:val="00DF367A"/>
    <w:rsid w:val="00DF7E4F"/>
    <w:rsid w:val="00E11D65"/>
    <w:rsid w:val="00E3312F"/>
    <w:rsid w:val="00E814BC"/>
    <w:rsid w:val="00EA49D8"/>
    <w:rsid w:val="00EC1105"/>
    <w:rsid w:val="00F14435"/>
    <w:rsid w:val="00F264EE"/>
    <w:rsid w:val="00F734F2"/>
    <w:rsid w:val="00F87609"/>
    <w:rsid w:val="00FB0151"/>
    <w:rsid w:val="00FB4A9D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8F9E"/>
  <w15:docId w15:val="{3D75445D-BA82-46E5-9FF1-F111090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7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367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7A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367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F367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3">
    <w:name w:val="Strong"/>
    <w:uiPriority w:val="22"/>
    <w:qFormat/>
    <w:rsid w:val="00DF367A"/>
    <w:rPr>
      <w:b/>
      <w:bCs/>
    </w:rPr>
  </w:style>
  <w:style w:type="character" w:styleId="a4">
    <w:name w:val="Hyperlink"/>
    <w:uiPriority w:val="99"/>
    <w:semiHidden/>
    <w:unhideWhenUsed/>
    <w:rsid w:val="00A360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360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7B62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62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628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B62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628C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7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7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6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45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3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9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60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2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97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57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2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3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138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53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20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0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7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91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0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2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15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73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621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9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20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52">
          <w:marLeft w:val="-30"/>
          <w:marRight w:val="-3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7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69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81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288">
          <w:marLeft w:val="-30"/>
          <w:marRight w:val="-3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27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46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92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45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0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6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08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3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22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50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6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9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51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2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67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5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89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65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53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96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67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2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9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5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1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0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6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233">
          <w:marLeft w:val="-30"/>
          <w:marRight w:val="-3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90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3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84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48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2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5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23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98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2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1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36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09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1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08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2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727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710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9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6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5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13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6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9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4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63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66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71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82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53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15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28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9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1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45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6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45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47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53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2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6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898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59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76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11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6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26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793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0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700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1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1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0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56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45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4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1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67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5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88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2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085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489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10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Gofurjon Sirojov</dc:creator>
  <cp:lastModifiedBy>Мажидов Кахрамон Набиевич</cp:lastModifiedBy>
  <cp:revision>5</cp:revision>
  <cp:lastPrinted>2023-06-28T08:31:00Z</cp:lastPrinted>
  <dcterms:created xsi:type="dcterms:W3CDTF">2023-06-28T08:15:00Z</dcterms:created>
  <dcterms:modified xsi:type="dcterms:W3CDTF">2023-07-18T05:01:00Z</dcterms:modified>
</cp:coreProperties>
</file>