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03F4" w14:textId="6E483FB5" w:rsidR="00C6081A" w:rsidRPr="00C6081A" w:rsidRDefault="00C6081A" w:rsidP="00C6081A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</w:t>
      </w:r>
      <w:r w:rsidRPr="00C6081A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Yagona </w:t>
      </w:r>
      <w:proofErr w:type="spellStart"/>
      <w:r w:rsidRPr="00C6081A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aksiyadorning</w:t>
      </w:r>
      <w:proofErr w:type="spellEnd"/>
      <w:r w:rsidRPr="00C6081A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2023 </w:t>
      </w:r>
      <w:proofErr w:type="spellStart"/>
      <w:r w:rsidRPr="00C6081A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yil</w:t>
      </w:r>
      <w:proofErr w:type="spellEnd"/>
    </w:p>
    <w:p w14:paraId="607670C5" w14:textId="77777777" w:rsidR="00C6081A" w:rsidRPr="00C6081A" w:rsidRDefault="00C6081A" w:rsidP="00C6081A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_______</w:t>
      </w:r>
      <w:proofErr w:type="spellStart"/>
      <w:r w:rsidRPr="00C6081A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ru-RU"/>
        </w:rPr>
        <w:t>dagi</w:t>
      </w:r>
      <w:proofErr w:type="spellEnd"/>
      <w:r w:rsidRPr="00C6081A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ru-RU"/>
        </w:rPr>
        <w:t> </w:t>
      </w:r>
      <w:r w:rsidRPr="00C6081A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_-son </w:t>
      </w:r>
      <w:proofErr w:type="spellStart"/>
      <w:r w:rsidRPr="00C6081A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Qaroriga</w:t>
      </w:r>
      <w:proofErr w:type="spellEnd"/>
    </w:p>
    <w:p w14:paraId="3AD11A32" w14:textId="77777777" w:rsidR="00C6081A" w:rsidRPr="00C6081A" w:rsidRDefault="00C6081A" w:rsidP="00C6081A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1-ILOVA</w:t>
      </w:r>
    </w:p>
    <w:p w14:paraId="02E6C7D6" w14:textId="77777777" w:rsidR="00C6081A" w:rsidRPr="00C6081A" w:rsidRDefault="00C6081A" w:rsidP="00C6081A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3DF0E5D5" w14:textId="77777777" w:rsidR="00C6081A" w:rsidRPr="00C6081A" w:rsidRDefault="00C6081A" w:rsidP="00C6081A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Toshkent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Mirobod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tumani</w:t>
      </w:r>
      <w:proofErr w:type="spellEnd"/>
    </w:p>
    <w:p w14:paraId="5DADF6BE" w14:textId="77777777" w:rsidR="00C6081A" w:rsidRPr="00C6081A" w:rsidRDefault="00C6081A" w:rsidP="00C6081A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xizmatlari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markazi</w:t>
      </w:r>
      <w:proofErr w:type="spellEnd"/>
    </w:p>
    <w:p w14:paraId="75DFB31B" w14:textId="77777777" w:rsidR="00C6081A" w:rsidRPr="00C6081A" w:rsidRDefault="00C6081A" w:rsidP="00C6081A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2023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______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dagi</w:t>
      </w:r>
      <w:proofErr w:type="spellEnd"/>
    </w:p>
    <w:p w14:paraId="21E71C14" w14:textId="77777777" w:rsidR="00C6081A" w:rsidRPr="00C6081A" w:rsidRDefault="00C6081A" w:rsidP="00C6081A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________________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-son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</w:p>
    <w:p w14:paraId="3A2CFC1D" w14:textId="77777777" w:rsidR="00C6081A" w:rsidRPr="00C6081A" w:rsidRDefault="00C6081A" w:rsidP="00C6081A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“</w:t>
      </w:r>
      <w:proofErr w:type="gram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RO‘</w:t>
      </w:r>
      <w:proofErr w:type="gram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YXATGA OLINGAN”</w:t>
      </w:r>
    </w:p>
    <w:p w14:paraId="6AD0BDFF" w14:textId="77777777" w:rsidR="00C6081A" w:rsidRPr="00C6081A" w:rsidRDefault="00C6081A" w:rsidP="00C6081A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“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zbek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”</w:t>
      </w:r>
    </w:p>
    <w:p w14:paraId="6515DB31" w14:textId="77777777" w:rsidR="00C6081A" w:rsidRPr="00C6081A" w:rsidRDefault="00C6081A" w:rsidP="00C6081A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jamiyatining</w:t>
      </w:r>
      <w:proofErr w:type="spellEnd"/>
    </w:p>
    <w:p w14:paraId="1286D4E0" w14:textId="77777777" w:rsidR="00C6081A" w:rsidRPr="00C6081A" w:rsidRDefault="00C6081A" w:rsidP="00C6081A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Yagona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2023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________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dagi</w:t>
      </w:r>
      <w:proofErr w:type="spellEnd"/>
    </w:p>
    <w:p w14:paraId="59A14255" w14:textId="77777777" w:rsidR="00C6081A" w:rsidRPr="00C6081A" w:rsidRDefault="00C6081A" w:rsidP="00C6081A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_____-son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</w:p>
    <w:p w14:paraId="1A7A901F" w14:textId="77777777" w:rsidR="00C6081A" w:rsidRPr="00C6081A" w:rsidRDefault="00C6081A" w:rsidP="00C6081A">
      <w:pPr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“TASDIQLANGAN”</w:t>
      </w:r>
    </w:p>
    <w:p w14:paraId="6AF7B58C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14:paraId="0C9AA1D7" w14:textId="30637A73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 </w:t>
      </w:r>
    </w:p>
    <w:p w14:paraId="233F61FD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4C62FBF2" w14:textId="64C0EE46" w:rsidR="00C6081A" w:rsidRPr="00C6081A" w:rsidRDefault="00C6081A" w:rsidP="00C6081A">
      <w:pPr>
        <w:pStyle w:val="a4"/>
        <w:jc w:val="center"/>
        <w:rPr>
          <w:lang w:val="en-US"/>
        </w:rPr>
      </w:pPr>
      <w:r w:rsidRPr="00C6081A">
        <w:rPr>
          <w:b/>
          <w:bCs/>
          <w:lang w:val="en-US"/>
        </w:rPr>
        <w:t>“</w:t>
      </w:r>
      <w:proofErr w:type="gramStart"/>
      <w:r w:rsidRPr="00C6081A">
        <w:rPr>
          <w:b/>
          <w:bCs/>
          <w:lang w:val="en-US"/>
        </w:rPr>
        <w:t>O‘</w:t>
      </w:r>
      <w:proofErr w:type="gramEnd"/>
      <w:r w:rsidRPr="00C6081A">
        <w:rPr>
          <w:b/>
          <w:bCs/>
          <w:lang w:val="en-US"/>
        </w:rPr>
        <w:t>ZBEK GEOLOGIYA QIDIRUV”</w:t>
      </w:r>
    </w:p>
    <w:p w14:paraId="0C685AB1" w14:textId="77777777" w:rsidR="00C6081A" w:rsidRPr="00C6081A" w:rsidRDefault="00C6081A" w:rsidP="00C60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AKSIYADORLIK JAMIYATI</w:t>
      </w:r>
    </w:p>
    <w:p w14:paraId="1A6C01BC" w14:textId="5881E672" w:rsidR="00C6081A" w:rsidRPr="00C6081A" w:rsidRDefault="00C6081A" w:rsidP="00C60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3C8B3D13" w14:textId="77777777" w:rsidR="00C6081A" w:rsidRPr="00C6081A" w:rsidRDefault="00C6081A" w:rsidP="00C60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USTAVI</w:t>
      </w:r>
    </w:p>
    <w:p w14:paraId="6444415A" w14:textId="77777777" w:rsidR="00C6081A" w:rsidRPr="00C6081A" w:rsidRDefault="00C6081A" w:rsidP="00C60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(</w:t>
      </w:r>
      <w:proofErr w:type="spellStart"/>
      <w:proofErr w:type="gram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yangi</w:t>
      </w:r>
      <w:proofErr w:type="spellEnd"/>
      <w:proofErr w:type="gram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tahrir)</w:t>
      </w:r>
    </w:p>
    <w:p w14:paraId="298C0B23" w14:textId="6430A44F" w:rsidR="00C6081A" w:rsidRPr="00C6081A" w:rsidRDefault="00C6081A" w:rsidP="00C60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C9417B3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585E33FF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30FDB526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101B41C8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22F43C38" w14:textId="76EFBD3F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 </w:t>
      </w:r>
    </w:p>
    <w:p w14:paraId="0EB6F728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1C345F99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20442E8D" w14:textId="77777777" w:rsidR="00C6081A" w:rsidRPr="00C6081A" w:rsidRDefault="00C6081A" w:rsidP="00C60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Toshkent – 2023 y.</w:t>
      </w:r>
    </w:p>
    <w:p w14:paraId="72BA9303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 </w:t>
      </w:r>
    </w:p>
    <w:p w14:paraId="7AA6D857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I. UMUMIY QOIDALAR</w:t>
      </w:r>
    </w:p>
    <w:p w14:paraId="6DC6845A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73D06F8C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1.1. 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“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zbek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”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ushbu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himoya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to‘g‘risida”gi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keyingi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o‘rinlarda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normativ-huquqiy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E543BA2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1.2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 “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zbek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”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keyingi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o‘rinlarda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Prezidentining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2021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21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apreldagi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PQ-5083-son “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sohasiga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investitsiyalarni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jalb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tarmoq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korxonalarini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transformatsiya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mineral-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xomashyo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bazasini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kengaytirish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qo‘shimcha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chora-tadbirlar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to‘g‘risida”gi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yagona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vazirligining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2021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24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iyuldagi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1-son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taʼsis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0806D60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Prezidentining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2023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24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martdagi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PQ101-son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100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foiz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ulushi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aktivlarni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agentligiga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79F0C633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1.3. 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Fuqarolik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kodeksi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, “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himoya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to‘g‘risida”gi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, “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Qimmatli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qog‘ozlar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bozori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to‘g‘risida”gi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mazkur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4F099ED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1.4.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3D4DD544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tilida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– “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zbek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”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qisqartirilgan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firma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“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O‘zbek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” AJ)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kirill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alifbosida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O‘zbek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”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qisqartirilgan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“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O‘zbek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” AJ);</w:t>
      </w:r>
    </w:p>
    <w:p w14:paraId="6DFB6612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ingliz</w:t>
      </w:r>
      <w:proofErr w:type="spell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tilida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– “Uzbek geological exploration” joint-stock company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qisqartirilgan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“Uzbek geological exploration” JSC);</w:t>
      </w:r>
    </w:p>
    <w:p w14:paraId="6087AE9B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rus</w:t>
      </w:r>
      <w:proofErr w:type="spell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tilida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–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Aksionernoye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yestvo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Uzbekgeologorazvedka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”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qisqartirilgan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AO “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Uzbekgeologorazvedka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”).</w:t>
      </w:r>
    </w:p>
    <w:p w14:paraId="50426A11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1.5.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yuridik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manzili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Toshkent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shahri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Mirobod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tumani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T.Shevchenko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11a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pochta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indeksi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- 100060.</w:t>
      </w:r>
    </w:p>
    <w:p w14:paraId="1EEBEE63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1.6.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elektron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pochta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manzili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: info@uzgeo.uz </w:t>
      </w:r>
    </w:p>
    <w:p w14:paraId="5C250822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1.7.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rasmiy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veb-sayti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: www.uzgeo.uz</w:t>
      </w:r>
    </w:p>
    <w:p w14:paraId="13B5D4B9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41AE84EA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II. JAMIYATNING HUQUQIY MAQOMI</w:t>
      </w:r>
    </w:p>
    <w:p w14:paraId="5F2DD854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7CD0E7C0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2.1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yuridik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mustaqil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balansida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alohida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mol-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mulkka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jumladan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mol-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mulkka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mulkiy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nomulkiy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zimmasiga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sudda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daʼvogar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javobgar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7557BDC3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2.2.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yxatidan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paytdan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eʼtiboran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yuridik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maqomiga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cheklanmagan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4217DC59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2.3.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hududida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tashqarida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bank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hisobvaraqlari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ochishga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haqlidir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86D1B93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2.4.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tilida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yozilgan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yuridik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manzili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ko‘rsatilgan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muhrga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yordamchi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muhrlar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shtamplar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rasmiy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blankalariga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timsoliga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shuningdek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ro‘yxatdan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tovar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fuqarolik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muomalasi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ishtirokchilarining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tovarlarning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xizmatlarning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xususiy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alomatlarini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ettiruvchi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vositalarga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bo‘lishga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7CC796B0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2.5.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tegishli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barcha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mol-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mulk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javobgar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0FECD84C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2.6.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javobgar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lmaydi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bog‘liq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zararlarning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o‘rnini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tegishli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qiymati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qoplash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tavakkalchiligini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zimmasiga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63CCD26A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2.7.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to‘lamagan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tegishli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qiymatining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to‘lanmagan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qismi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solidar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javobgar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43B11EC6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2.8.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javobgar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bo‘lmaydi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7CF66BD7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2.9.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Agar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bankrotligi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ko‘rsatmalar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sifatida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yuritayotgan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g‘ayriqonuniy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harakatlari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tufayli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bo‘lsa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mol-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mulki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yetarli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mazkur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zimmasiga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subsidiar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javobgarlik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yuklatilishi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rsatmalar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ushbu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ko‘rsatib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taqdirdagina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494161D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2.10.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rsatmalar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muayyan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harakatni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oqibatida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bankrot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bo‘lishini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oldindan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turib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ushbu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shunday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harakat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foydalangan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taqdirdagina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bankrotligi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harakatlari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tufayli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deb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0210585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2.11.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javobgar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lmaydi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shuningdek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ham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javobgar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bo‘lmaydi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5DDD6E85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2.12.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filiallarini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vakolatxonalarini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ochishi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2E5CECB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Filial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vakolatxonaning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rahbari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mazkur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tayinlanadi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ishonchnoma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yuritadi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53AF97F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Filial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vakolatxona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javobgarlik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zimmasida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2823603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tashqarida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xorijiy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mamlakatlarda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filiallar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vakolatxonalar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ochish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agar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xalqaro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shartnomasida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nazarda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tutilmagan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bo‘lsa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filiallar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vakolatxonalar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joylashgan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mamlakatning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85EBF66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2.13.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masʼuliyati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cheklangan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shaklidagi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shoʻba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tobe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55E16945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43906544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JAMIYAT FAOLIYATINING SOHASI</w:t>
      </w:r>
    </w:p>
    <w:p w14:paraId="1589BC72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(ASOSIY YO‘NALISHLARI) VA MAQSADI</w:t>
      </w:r>
    </w:p>
    <w:p w14:paraId="600F139D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3D7062B3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tijorat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tashkiloti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bo‘lib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asosiy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maqsadi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moliyaviy-xo‘jalik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faoliyatidan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foyda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olishdir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B873FC0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faoliyatidan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asosiy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maqsad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respublikaning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barcha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hududlarida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geologiya-qidiruv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ishlarini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konlarni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izlash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baholash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qidirib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chamalashni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o‘z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ichiga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ishlarini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borishdan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iborat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tashqari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analitik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tematik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regional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geologik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tadqiqotlar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laboratoriya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tahlili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topografik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geologik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tasvirlash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xaritalash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ishlari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foydali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qazilmalarni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qidirish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baholash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razvedka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ishlarini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A5709C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3.3.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o‘zining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asosiy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maqsadidan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kelib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chiqib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faoliyat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xizmat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ko‘rsatishning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quyidagi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turlarini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oshiradi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BDDCB91" w14:textId="39D9A1FC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bashoratli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resurslarga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geologik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salohiyati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maydonlarda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rangli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qimmatbaho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metallarni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izlash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istiqbollarini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aniqlash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maqsadida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geologik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ishlarini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6D74AAD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rangli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qimmatbaho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metallar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shilib</w:t>
      </w:r>
      <w:proofErr w:type="spellEnd"/>
    </w:p>
    <w:p w14:paraId="5CD1A823" w14:textId="341675D5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foydali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qazilmalarni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qazib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bosqichma-bosqich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izlash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baholash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qidirish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22C3348" w14:textId="612FCB54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rangli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qimmatbaho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metallar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bashorat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resurslariga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maydonlarda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foydali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qazilma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konlarini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qidirib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topib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zahiralarini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aniqlash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maqsadida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baholash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razvedka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24B858EE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4F385B08" w14:textId="4A121D0D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rangli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qimmatbaho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metallar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foydali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qazilma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konlarida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geologik-qidiruv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borishda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zamonaviy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uslublar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texnologiyalarni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joriy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40092111" w14:textId="4F85AEC1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rangli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qimmatbaho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metallar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istiqbolli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maydonlarni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topish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ilmiy-tematik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bashoratli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resurslari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mavjud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maydonlarning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mayda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yirik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masshtabli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xaritalarini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yaratadi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394656E1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3.4.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mobaynida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vazifalariga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5A7FB713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yer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qaʼrini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rganish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sohasida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uzoq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o‘rta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dasturlarini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Tog‘-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sanoati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vazirligiga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keyingi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o‘rinlarda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Kon-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vazirligi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09F3CB9" w14:textId="088981A5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byudjeti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maxsus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mablag‘lar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moliyalashtiriladigan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hududida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geologik-qidiruv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loyiha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smeta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Kon-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vazirligiga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27E989D5" w14:textId="7D337B3F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geologik-qidiruv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natijasini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ifodalovchi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Kon-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vazirligiga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45597756" w14:textId="5AB969CB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vazifalaridan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chiqqan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foydali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qazilma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konlarini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qidirish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baholash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mobaynida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Kon-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vazirligiga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shimcha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takliflarini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1443F89C" w14:textId="5A997504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    Kon-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vazirligi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tasarrufidagi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tashkilotlar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alohida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ijrochilar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shartnoma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topshiriqlarni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bajarish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subpudrat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shartnomalarini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shakllantiradi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bajarilishini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nazorat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0EA52E66" w14:textId="2AD5E5C9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yuridik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jismoniy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jumladan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Kon-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vazirligi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kelishilgan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xorijiy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investorlarining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buyurtmalari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shartnoma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geologik-qidiruv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1F1BB98" w14:textId="3EB8EFD5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yetakchi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mutaxassislardan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iborat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Ilmiy-texnik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(ITK)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ITK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Nizom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1B6AD6E" w14:textId="35ED48A8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yer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qaʼrini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rganish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foydalanish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muhofaza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sohasida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noshirlik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38282E80" w14:textId="5B046AEC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hududiy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linmalarida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chiqarishning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bexatar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sharoitlarini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yaratish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maqsadida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yong‘in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xavfsizligi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yo‘l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harakati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xavfsizligi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sanitariya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ekologiya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normalari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geologik-qidiruv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yordamchi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xavfsizligi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qoidalarining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talablariga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rioya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taʼminlaydi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88CC0A9" w14:textId="75AEE9DC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borilayotgan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geologik-qidiruv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tabiiy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muhitga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salbiy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taʼsirini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kamaytirish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tabiatni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muhofaza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chora-tadbirlarini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4AC7FD45" w14:textId="2C6A6C53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siri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maʼlumotlarni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maxfiyligini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taʼminlaydi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maxfiy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maʼlumotlarning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saqlanishini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taʼminlashga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chora-tadbirlarni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oshiradi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tijorat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siri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maʼlumotlarni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muhofaza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tarkibi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hajmi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54C0CDD" w14:textId="34674DCA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obyektlarining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aholi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yashash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fuqarolik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muhofazasi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chora-tadbirlarini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01968176" w14:textId="77777777" w:rsidR="00C6081A" w:rsidRPr="00C6081A" w:rsidRDefault="00C6081A" w:rsidP="00C6081A">
      <w:pPr>
        <w:pStyle w:val="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3.5.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O‘zbekiston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Respublikasining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hujjatlari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taʼqiqlanmagan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faoliyat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turlarini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oshiradi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88CD06" w14:textId="1D0FC4FD" w:rsidR="00632531" w:rsidRPr="00C6081A" w:rsidRDefault="00632531" w:rsidP="00C6081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A7E73A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IV. JAMIYAT USTAV FONDI (USTAV KAPITALI) NING MIQDORI</w:t>
      </w:r>
    </w:p>
    <w:p w14:paraId="275E8319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6FD8268D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4.1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kapitali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nominal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qiymatidan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topadi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milliy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valyutasida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ifodalanadi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524BF292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4.2.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kapitali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) 709 180 869 200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yetti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qqiz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milliard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sakson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million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sakkiz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oltmish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to‘qqiz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ikki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so‘mni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nominal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qiymati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100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so‘m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7 091 808 692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dona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yetti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milliard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to‘qson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million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sakkiz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sakkiz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to‘qson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ikki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dona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oddiy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bo‘linadi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46A5B4EA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4.3.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kapitali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shimcha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joylashtirish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yo‘li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ko‘paytirilishi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5E1A41BC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4.4.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shimcha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ushbu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eʼlon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doirasidagina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joylashtiriladi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3058A323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kapitalini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maqsadida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joylashtirilgan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shimcha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ravishda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chiqarishi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eʼlon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nominal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qiymati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100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so‘m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yozilgan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10 000 000 000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milliard)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dona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oddiy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iborat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53774763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4.5. 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shimcha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joylashtirish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yo‘li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ko‘paytirish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yagona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joylashtiriladigan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qo‘shimcha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qiymati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nominal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qiymati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joylashtirish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usuli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joylashtirish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birjadan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tashqari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bozorga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chiqarish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narxi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to‘lov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1FA7A5B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4.6. 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shimcha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chiqarilayotgan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ochiq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yopiq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obuna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usullari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joylashtiriladi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134C349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4.7. 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ayirboshlanadigan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mablag‘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emissiyaviy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qimmatli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qog‘ozlarni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joylashtirishda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ovoz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beruvchi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tegishli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turdagi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mutanosib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imtiyozli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00349347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7C02B067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fondini</w:t>
      </w:r>
      <w:proofErr w:type="spellEnd"/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kamaytirish</w:t>
      </w:r>
      <w:proofErr w:type="spellEnd"/>
    </w:p>
    <w:p w14:paraId="0E3666AB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580D6ABD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4.8.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fondi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kapitali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aksiyalarning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nominal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qiymatini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kamaytirish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aksiyalarning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sonini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qisqartirish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yo‘li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kamaytirilishi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C4AC7B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4.9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fondi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kapitali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ni</w:t>
      </w:r>
      <w:proofErr w:type="spellEnd"/>
      <w:proofErr w:type="gram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kamaytirish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natijasida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miqdori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hujjatlarida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eng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miqdordan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kamayib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ketsa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fondi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kapitali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kamaytirishga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haqli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emas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1999AA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4.10. 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fondi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kapitali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ni</w:t>
      </w:r>
      <w:proofErr w:type="spellEnd"/>
      <w:proofErr w:type="gram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kamaytirish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to‘g‘risida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yagona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aksiyador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qilingan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vaqtda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yig‘ilishi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kapitali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kamaytirish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sabablarini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ko‘rsatadi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kamaytirish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tartibini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belgilaydi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28E454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           </w:t>
      </w: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4.11.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ulushining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vujudga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kelishi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miqdorining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o‘zgarishi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bog‘liq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taʼsis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hujjatlariga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Ustavga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kiritiladigan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o‘zgartirishlarni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ro‘yxatidan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o‘tkazish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aktivlarini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boshqarish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agentligining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tegishli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buyrug‘i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mavjud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bo‘lganda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oshiriladi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CC2EA0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V. JAMIYAT AKSIYALARINING TURLARI VA ULAR </w:t>
      </w:r>
      <w:proofErr w:type="gram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YICHA DIVIDENDLAR TO‘LASH TARTIBI</w:t>
      </w:r>
    </w:p>
    <w:p w14:paraId="65258E3C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6CCE7307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5.1.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yozilgan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emissiyaviy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qimmatli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ozlar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oddiy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imtiyozli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471FCE93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5.2. 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depo-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varag‘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ko‘chirma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A44C122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5.3. 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Dividendlar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tasarrufida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qoladigan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sof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foydasidan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taqsimlanmagan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foydasidan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Imtiyozli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dividendlar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maxsus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mo‘ljallangan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ham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to‘lanishi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AB20620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5.4. 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oddiy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dividendlarni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dividendlarni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olishga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rioya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0AA1CC20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5.5. 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Dividend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mablag‘lari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to‘lov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vositalari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yoxud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qimmatli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qog‘ozlari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to‘lanishi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7C209A93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Dividendlar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dividendlar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tugallanadigan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sanalar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ko‘rsatilgan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lozim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09D6E707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Dividendlarni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Dividendlarni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shunday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eʼtiboran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oltmish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kech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bo‘lmasligi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lozim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469A122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5.6. 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marta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moliyaviy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natijalariga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joylashtirilgan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dividendlar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ko‘zda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mustasno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3357418F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5.7. 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Dividendlar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dividendning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shakli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tavsiyasi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moliyaviy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ishonchliligi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auditorlik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xulosasi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mavjud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moliyaviy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maʼlumotlari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32B54264" w14:textId="77777777" w:rsidR="00632531" w:rsidRPr="00C6081A" w:rsidRDefault="00632531" w:rsidP="00C6081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DB33993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JAMIYATNING ZAXIRA FONDI</w:t>
      </w:r>
    </w:p>
    <w:p w14:paraId="3FB4B377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255A7C3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6.1.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sof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foyda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hisobidan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zaxira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fondini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yig‘ilishida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aniqlanadigan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faoliyati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zarur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fondlarni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etadi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119AE9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6.2.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zaxira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fondi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mablag‘lar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mavjud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bo‘lmagan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taqdirda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zararlari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o‘rnini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qoplash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korporativ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obligatsiyalarini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muomaladan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chiqarish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imtiyozli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aksiyalar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bo‘yicha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dividendlar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to‘lash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aksiyalarini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qaytarib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sotib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mo‘ljallanadi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Zaxira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fondidan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maqsadlarda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foydalanish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emas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70C9E3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6.3.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15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foizdan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zaxira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Zaxira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yetguniga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qadar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sof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foydadan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br/>
        <w:t xml:space="preserve">5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foiz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ajratmalar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tkazadi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AFE0360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6.4.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Zaxira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laligicha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qisman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sarflanib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sof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foydadan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ajratmalardan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tiklanadi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DD441BC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72EA8430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VII. JAMIYATNING BOSHQARUV ORGANI TUZILMASI</w:t>
      </w:r>
    </w:p>
    <w:p w14:paraId="29DE1CCD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4903A596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7.1.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organlari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BF43F6A" w14:textId="3B87BD4E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543189C4" w14:textId="0B267E99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B7F1041" w14:textId="6E56856E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organi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9F3E3E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14:paraId="0C23A5F2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VIII. JAMIYAT AKSIYADORLARINING UMUMIY </w:t>
      </w:r>
      <w:proofErr w:type="gram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ILISHI</w:t>
      </w:r>
    </w:p>
    <w:p w14:paraId="4EA1EB16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34C49158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8.1.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yuqori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organidir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7408BB73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8.2.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navbatdagi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moliyaviy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tugaganidan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keyin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oydan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kechiktirmay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navbatdagi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odatda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may-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iyun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oylarida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0E0C2CDB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8.3.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foizdan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bo‘lmagan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oddiy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aksiyalari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egalari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yig‘ilishi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tartibi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foydani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taqsimlash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nazorat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organi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aʼzoligiga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nomzodini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yig‘ilish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o‘tkazilgunga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qadar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almashtirish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imkoniyati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ko‘rsatish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yuzasidan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taklif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kiritish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huquqiga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takliflar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tugaganidan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keyin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90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kechiktirmay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lozim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04218DA0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8.4. 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tashqari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o‘tkaziladigan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yig‘ilishlar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navbatdan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tashqari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yig‘ilishlardir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642F238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8.5. 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Barcha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oddiy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tegishli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o‘tkazilmaydi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kiritilgan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masalalar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yakka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yozma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shaklda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rasmiylashtirilishi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kerak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imtiyozli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mustasno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ushbu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bobning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tayyorgarlik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chaqirish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belgilovchi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qoidalari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qo‘llanilmaydi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yig‘ilishini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taalluqli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qoidalar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mustasno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152FF93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8.6. 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doirasiga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quyidagilar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08236AD8" w14:textId="10B8685F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zgartish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qo‘shimchalar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kiritish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yangi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tahrirdagi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51C69C09" w14:textId="5376FA84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qayta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4B5CEE9E" w14:textId="36CD778B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tugatish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tugatuvchini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tugatish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tayinlash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oraliq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yakuniy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tugatish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balanslarini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473B0C13" w14:textId="75B0CCEC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jumladan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mustaqil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son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tarkibini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saylash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ilgari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tugatish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3F4B053A" w14:textId="4AB7EC9F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eʼlon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3C14511F" w14:textId="739A8A2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paytirish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CFF772B" w14:textId="0F613E81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kamaytirish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F8BA122" w14:textId="5A736A1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joylashtirilgan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sotib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5AB18093" w14:textId="2DAEE8BD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tuzilmasini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69E5E8B" w14:textId="2C2DD033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shakllantirish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rahbarini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saylash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tayinlash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rahbarning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ilgari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tugatish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49DDDD9" w14:textId="2EA95F3F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saylash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ilgari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tugatish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shuningdek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nizomni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1754C87E" w14:textId="4B996113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biznes-rejasini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shuningdek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nalishlari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maqsadidan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chiqqan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o‘rta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uzoq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rivojlantirishning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aniq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strategiyasini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2A9C4A83" w14:textId="3E66BA43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foydasi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zararlarini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taqsimlash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48E35B08" w14:textId="71A731DE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kompensatsiyalari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55281AC5" w14:textId="108A0C59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Taftishchisining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doirasiga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masalalar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jumladan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boshqarishga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talablarga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rioya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Taftishchisining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xulosalarini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eshitish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E97E1BC" w14:textId="2ABDF8D0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imtiyozli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llamaslik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35-moddasida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mazkur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nazarda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23BBF843" w14:textId="5A70E614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reglamentini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D2FEBB1" w14:textId="4443FCE6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maydalash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yiriklashtirish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3271DED6" w14:textId="4E85EB76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VIII-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bobiga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balans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qiymati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qiymati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g‘risida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qilinayotgan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sanada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sof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aktivlari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ellik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foizidan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ortig‘ini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etuvchi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mol-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mulk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xususida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yirik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557E8332" w14:textId="5659305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IX-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bobiga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affillangan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g‘risida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17BEBA1" w14:textId="42BC01EA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Korporativ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kodeksi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tavsiyalariga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rioya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g‘risida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xabarni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oshkor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shaklini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3A0B70DB" w14:textId="06FC206B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jumladan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nazorat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dividend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siyosati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manfaatlar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qarama-qarshiligi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vaqtida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harakat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nizomlarini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3F554A7" w14:textId="36164A61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homiylik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xayriya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araz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yordam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ko‘rsatish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55BD755D" w14:textId="24615E43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mablag‘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minoritar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qo‘mitasini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minoritar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qo‘mitasi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xarajatini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qoplash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);</w:t>
      </w:r>
    </w:p>
    <w:p w14:paraId="604C63CC" w14:textId="6A499895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beruvchi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nazorat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maʼruzalari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shakli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mazmuniga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talablarni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davomiyligini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D9D8257" w14:textId="64E35C02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auditorlik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tekshiruvini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tkazish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auditorlik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tashkilotini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ushbu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tashkilotning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xizmatlariga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ko‘p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miqdori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shartnoma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shartnomani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bekor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4E9E3FC3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8.7. 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ishtirok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vakili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orqali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vakili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yozma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shaklda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ishonchnoma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yuritadi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800F4EE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8.8. 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korporativ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veb-saytida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Korporativ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axborot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yagona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portalida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joylashtiriladi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Agar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qimmatli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ozlar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fond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birjasining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kotirovka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varag‘iga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kiritilgan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bo‘lsa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mazkur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birjaning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rasmiy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veb-saytida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ham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joylashtiriladi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47C1272D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8.9. 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to‘g‘risida”gi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Nizomiga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chaqiriladi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5808C595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0A173AF0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IX. JAMIYAT KUZATUV KENGASHI</w:t>
      </w:r>
    </w:p>
    <w:p w14:paraId="383CD16B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103AD39C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9.1. 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faoliyatiga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rahbarlikni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oshiradi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yig‘ilishining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vakolatiga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taalluqli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masalalar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mustasno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D4C411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9.2. 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aʼzolari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yig‘ilishi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uch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yillik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muddatga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saylanadilar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aʼzolarining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soni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5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besh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kishidan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shundan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kamida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25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foizi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xorijiy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malakali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mutaxassislardan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iborat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bo‘lishi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kerak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728316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9.2.1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tarkibiga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bittadan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bo‘lmagan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ustavda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nazarda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tutilgan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aʼzolari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sonining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15%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kam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bo‘lmagan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mustaqil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aʼzosi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kiritiladi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1BC4B4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Quyidagilar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mustaqil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emas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4455DB79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              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affillangan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2CD17FA2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          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beruvchi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ortiq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foiziga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qiluvchi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g‘ridan-to‘g‘ri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affillangan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orqali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C1A476F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          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affillangan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yirik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mijozi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yirik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yetkazib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beruvchisi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fuqarolik-huquqiy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munosabatlarda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qaysi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bazaviy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ikki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baravaridan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summaga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tengamaldagi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shartnoma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mavjud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bo‘lsa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o‘sha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mijoz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yirik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yetkazib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beruvchi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deb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eʼtirof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17336882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              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affillangan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auditorlik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xizmatlarini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ko‘rsatgan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auditorlik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tashkilotining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xodimi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2A3D0E62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          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ketma-ket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davomida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tarkibiga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035D8033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              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affillangan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biror-bir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kelishuvga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vazifalari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funksiyalari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bajarilishini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taʼminlash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bog‘liq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kelishuvlar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mustasno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350BD9A7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          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nazorat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affillangan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so‘ngi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yaqin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qarindoshi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quda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qarindoshi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ota-onasi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, aka-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ukalari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opa-singilari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o‘g‘illari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qizlari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shuningdek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xotinining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ota-onasi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, aka-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ukalari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opa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singillari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farzandlari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22A9AD31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          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korxonasining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xodimi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265FC40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          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xujjatlarda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talablarga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7D8B2014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          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mustaqil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aʼzoligiga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nomzodlarni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(yagona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tariqasida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tanlov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ko‘rsatish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xam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tanlov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“headhunter”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kompaniyasi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orqali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tanlab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nomzodlar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mustaqil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muxokamasiga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kiritilishi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 </w:t>
      </w:r>
    </w:p>
    <w:p w14:paraId="5D5A90A1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          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tarkibiga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saylangan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mustaqil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reyestrini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yuritadi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rasmiy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veb-saytida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eʼlon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7F2DFBE5" w14:textId="7777777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9.3. 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doirasiga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quyidagilar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22258CE9" w14:textId="1ACE15E4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biznes-rejasi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rsatkichlari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bajarilishi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shuningdek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rivojlantirish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strategiyasiga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erishish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ko‘rilayotgan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chora-tadbirlar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muntazam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ravishda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eshitib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ustuvor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yo‘nalishlarini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159B7EEB" w14:textId="4C880ED4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navbatdan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tashqari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chaqirish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nazarda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mustasno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0960C0A9" w14:textId="14DD88C9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tayyorlash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o‘tkaziladigan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sana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vaqt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5FCBCB37" w14:textId="3DCA1972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xabar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ishtirok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reyestrini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shakllantirish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sanasini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283FE32F" w14:textId="440C14E0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59-moddasi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birinchi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qismining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ikkinchi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xatboshisida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nazarda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masalalarni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kiritish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35FB52A0" w14:textId="20C37D4C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    mol-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mulkning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bozor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qiymatini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belgilashni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059D81B8" w14:textId="56AD15E7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kompensatsiyalar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06862F29" w14:textId="0B97B833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korporativ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maslahatchini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tayinlash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belgilovchi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nizomni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4CBFE07" w14:textId="5C305FC2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biznes-rejasini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joriy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dekabridan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kechiktirmay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maʼqullash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00DD2CFC" w14:textId="2C200099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audit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xizmatini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xodimlarini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lavozimga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tayinlash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shuningdek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chorakda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eshitib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40137C3D" w14:textId="0A61DBF2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daxldor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qanday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erkin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foydalanish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zimmasiga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yuklatilgan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vazifalarni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bajarish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faqat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xizmat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maqsadlarida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foydalanishi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46920EF2" w14:textId="0CD9A792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auditorlik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tekshiruvini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tkazish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auditorlik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tekshiruvi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mustasno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auditorlik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tashkilotini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xizmatlariga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ko‘p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shartnoma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shartnomani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bekor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C543699" w14:textId="78EE7B96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Taftishchisiga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kompensatsiyalarning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tavsiyalar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5BF7FDE" w14:textId="04F21AE1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dividend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shakli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tavsiyalar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4E996441" w14:textId="64951338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zaxira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fondlaridan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foydalanish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DA7EE26" w14:textId="50CFAE31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filiallarni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vakolatxonalarini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ochish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nizomlarini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5E680E28" w14:textId="07FF1EFF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shoʻba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tobe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masʼuliyati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cheklangan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shakllarida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);</w:t>
      </w:r>
    </w:p>
    <w:p w14:paraId="58F3F32A" w14:textId="0F19AAB1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yirik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affillangan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manfaatdorlik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g‘risida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21C47BE9" w14:textId="6F188C7F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tijorat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notijorat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tashkilotlardagi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ishtiroki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09D25178" w14:textId="025B48B4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korporativ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obligatsiyalar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jumladan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ayirboshlanadigan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obligatsiyalar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chiqarish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g‘risida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48C286E" w14:textId="533DAB73" w:rsidR="00C6081A" w:rsidRPr="00C6081A" w:rsidRDefault="00C6081A" w:rsidP="00C6081A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korporativ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obligatsiyalarini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qaytarib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sotib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g‘risida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43C06EF" w14:textId="77777777" w:rsidR="008329F4" w:rsidRPr="00C6081A" w:rsidRDefault="00632531" w:rsidP="00C6081A">
      <w:pPr>
        <w:numPr>
          <w:ilvl w:val="0"/>
          <w:numId w:val="8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қўшимча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акциялар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чиқарилуви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тўғрисидаги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қарор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эмиссия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рисоласини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тасдиқлаш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тўғрисида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қарор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қабул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eastAsia="ru-RU"/>
        </w:rPr>
        <w:t>қилиш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  <w:t>;</w:t>
      </w:r>
      <w:r w:rsidR="008329F4" w:rsidRPr="00C6081A">
        <w:rPr>
          <w:rFonts w:ascii="Times New Roman" w:eastAsia="Times New Roman" w:hAnsi="Times New Roman"/>
          <w:sz w:val="28"/>
          <w:szCs w:val="28"/>
          <w:highlight w:val="yellow"/>
          <w:lang w:val="en-US" w:eastAsia="ru-RU"/>
        </w:rPr>
        <w:t xml:space="preserve"> </w:t>
      </w:r>
    </w:p>
    <w:p w14:paraId="1FFBDE0D" w14:textId="6533258B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kapitalini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paytirish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masalalarini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shuningdek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kapitalini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ko‘paytirish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eʼlon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sonini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kamaytirish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bog‘liq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o‘zgartish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qo‘shimchalar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kiritish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1C826B72" w14:textId="4BEA522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joylashtirish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qimmatli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ozlarning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birja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bozoriga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uyushgan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birjadan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tashqari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bozoriga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chiqarish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narxini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5260BC45" w14:textId="7CA0433A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qimmatli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ozlarning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hosilalarini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chiqarish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4238452" w14:textId="5056D086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homiylik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xayriya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araz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yordam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ko‘rsatish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faqat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tartib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shuningdek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doirada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barcha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maʼlumotlarni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oshkor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tarzda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41983526" w14:textId="366F171E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lozim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lsa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mustaqil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professional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tashkilotlar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maslahatchilarni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jalb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biznes-jarayonlar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loyihalarning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rivojlanish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maqsadlariga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tahlil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073BDA36" w14:textId="6BA0A383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rinbosarlarini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saylash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tayinlash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ilgari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tugatish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1E2EF035" w14:textId="04D2D08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muhim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masalalarni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tavsiyalar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tayyorlash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qo‘mitalar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09C1E9A3" w14:textId="776F1B40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mulkini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begonalashtirish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shakli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mexanizmi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kapitaliga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uchinchi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investitsiya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kiritish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kelishuvlarni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shartnoma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memorandum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kelishish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6F2CD785" w14:textId="3F529D0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korporativ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normativ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xujjatlarini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(AUY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masalalar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mustasno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).</w:t>
      </w:r>
    </w:p>
    <w:p w14:paraId="26550A32" w14:textId="7777777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9.4.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saylovi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kumulyativ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orqali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Kumulyativ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tegishli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saylanishi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lozim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mustaqil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soniga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ko‘paytiriladi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tariqa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nomzodga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ikki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ortiq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nomzodlar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o‘rtasida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taqsimlashga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haqlidir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to‘plagan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nomzodlar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tarkibiga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saylangan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deb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774E3D3" w14:textId="7777777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saylangan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mazkur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bayonnomasida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qaysi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vakili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ekanligi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qaysi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mustaqil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ekanligi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ko‘rsatilishi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kerak</w:t>
      </w:r>
      <w:proofErr w:type="spellEnd"/>
    </w:p>
    <w:p w14:paraId="4A54F051" w14:textId="7777777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9.5. 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ko‘pchilik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saylanadi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pchilik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qayta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saylanishi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37942506" w14:textId="7777777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9.6. 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majlislarini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chaqiradi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majlisda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bayonnoma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yuritilishini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rinbosarlari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tuziladigan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mehnat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shartnomasini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imzolaydi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495D299A" w14:textId="7777777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9.7. 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vazifasini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611CB4B" w14:textId="7777777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9.8. 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majlislari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chorakda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kamida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marta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chaqiriladi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tkaziladi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chorakda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eshitish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majlislarini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sirtdan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yo‘li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so‘rov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yo‘li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o‘tkazishga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yo‘l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qo‘yilmaydi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43B0C7A0" w14:textId="7777777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9.9. 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foizdan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oddiy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majlisini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chaqirishni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talab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taklif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kiritish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6FE7149F" w14:textId="7777777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9.10. 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majlisida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agar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qonunchilikda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tutilmagan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bo‘lsa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majlisda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hozir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ko‘pchilik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majlisida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masalalar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etilayotganda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emas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etuvchi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0F0F0D41" w14:textId="7777777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9.11. 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Majlisda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video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audio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uskunalari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orqali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konferensiya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aloqasi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ishtirok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sirtdan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deb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hisoblanmaydi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4F7C22E5" w14:textId="7777777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9.12. 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oshirishda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bajarishda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manfaatlarini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ko‘zlab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tutishi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lozim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ushbu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oldida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javobgardir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68539271" w14:textId="7777777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mustaqil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qatorda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ushbu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Nizomda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ladi</w:t>
      </w:r>
      <w:proofErr w:type="spellEnd"/>
    </w:p>
    <w:p w14:paraId="6925DE6D" w14:textId="7777777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9.13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mazkur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to‘g‘risida”gi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nizom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6CD2F295" w14:textId="77777777" w:rsidR="00C6081A" w:rsidRPr="00C6081A" w:rsidRDefault="00C6081A" w:rsidP="00C6081A">
      <w:pPr>
        <w:pStyle w:val="af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7D818D6A" w14:textId="123E83CF" w:rsidR="00632531" w:rsidRPr="00C6081A" w:rsidRDefault="00632531" w:rsidP="00C6081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z-Cyrl-UZ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 xml:space="preserve">X. ЖАМИЯТНИНГ </w:t>
      </w:r>
      <w:r w:rsidR="0017299C" w:rsidRPr="00C6081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>БОШҚАРУВ</w:t>
      </w:r>
      <w:r w:rsidRPr="00C6081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z-Cyrl-UZ" w:eastAsia="ru-RU"/>
        </w:rPr>
        <w:t xml:space="preserve"> ОРГАНИ</w:t>
      </w:r>
    </w:p>
    <w:p w14:paraId="60171A01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714D76FF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10.1.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kundalik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rahbarlik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kollegial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43DAFE49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6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kishidan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iborat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saylanadilar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tayinlanadilar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).</w:t>
      </w:r>
    </w:p>
    <w:p w14:paraId="435A14DB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10.2.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kundalik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operativ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rahbarlikni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qonunchiligi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71DEE355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10.3.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0EC4228D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10.4.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o‘rinbosarlari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saylanadilar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tayinlanadilar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).</w:t>
      </w:r>
    </w:p>
    <w:p w14:paraId="156E39A4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rinbosarlari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tayinlash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tariqasida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xorijiy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menejerlar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ishtirok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tanlov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saralash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lavozimlariga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kamida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nafar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malakali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xorijiy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mutaxassislar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jalb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40A607D1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rinbosarlari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mehnat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shartnomasini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imzolaydi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surunkasiga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ikki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ortiq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emas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3C86C274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10.5.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samaradorligiga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to‘g‘ridan-to‘g‘ri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bog‘liq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mehnat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shartnomasida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harakati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harakatsizligi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natijasida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manfaatlariga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yetkazilgan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qanday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zarar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ziyon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oqibatida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keluvchi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jarima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penya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lovlar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ushbu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subsidiar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javobgarligini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tuziladigan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mehnat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shartnomalarida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ko‘zda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tutiladi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8DEBAB4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10.6.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kundalik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rahbarlik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barcha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masalalar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kiritilgan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masalalar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mustasno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33AD47B5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10.7.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bajarilishini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9A4CD10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10.8.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quyidagilar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625B9E46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rahbarlik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FD3DDDC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ishonchnomasiz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yuritish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jumladan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manfaatlarini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ifodalash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2DF3397C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ishonchnomalarni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6F10790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47BBFE06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xodimlarni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mehnat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shartnomalarni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bekor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nisbatan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intizomiy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jazo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choralarini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xodimlar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mehnat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ijro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intizomini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saqlab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turishini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taʼminlash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120CF670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-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kelishgan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shtatlar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jadvali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lavozimlar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nomenklaturasini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xodimlariga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kompensatsiyalar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1656DA64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filiali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vakolatxonasi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shtatlarini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rahbarini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tayinlash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1D04EE8B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barcha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xodimlari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tashkilotlari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bajarishi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buyruqlar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farmoyishlar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ko‘rsatmalar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61401785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ishtirok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2D33F07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banklarda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raqamlar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milliy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xorijiy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valyuta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raqamlar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ochish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2D25D718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bank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xujjatlarida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birinchi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imzo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1FB98EC2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statistika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buxgalteriya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tegishli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vaqtida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taʼminlash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2CA6768E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xodimlarining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ijtimoiy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kafolatlariga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rioya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mehnatini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muhofaza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taʼminlash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091EE368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10.9.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quyidagilar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0106BAA4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mol-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mulki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mablag‘larini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tassaruf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A32DF58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tarkibiy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linmalar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markaziy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apparat)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nizomlar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xodimlarning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lavozim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yo‘riqnomalarini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0CAF34E6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meʼyoriy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kiritilgan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meʼyoriy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mustasno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388D1939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tashkilotlar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vakolatxonalar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filiallar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180D65FE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filiallari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rahbarlarini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lavozimga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tayinlash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lavozimdan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ozod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550E8349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tuzilmasiga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AUY (Yagona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xodimlarning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zgartirish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kiritish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56809B3A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rivojlantirish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dasturlari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biznes-rejalarini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bajarilishini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nazorat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1ECFE766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biznes-rejada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rsatilgan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foyda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olishni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taʼminlash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28ECFA0A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qonunchilikka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buxgalteriya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ishonchliligini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kreditorlarga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oluvchilarga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yuboriladigan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maʼlumotlar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taʼminlash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26411E23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moliya-</w:t>
      </w:r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yagona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auditori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talabiga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to‘sqinliksiz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2B2DE9A7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mol-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mulkni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yoxud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mol-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mulkni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ehtimoli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jumladan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kredit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garov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kafillik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o‘zaro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bog‘langan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nechta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agar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berilayotgan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mol-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mulkning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olinayotgan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mol-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mulkning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balans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qiymati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qabul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qilinayotgan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sanada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sof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aktivlari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foizigacha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yakdilligiga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erishilmagan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hollarda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masala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hukmiga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havola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1B696358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tijorat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sirini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etuvchi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axborotlarni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saqlash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3514D8DF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dividendlar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hisoblanishi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lanishi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barcha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rioya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BD0BBCC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samarali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barqaror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ishlashini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taʼminlash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11C18AAE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rioya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48F1FB92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qanday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tuzilishida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bevosita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tegishli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qanday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masalada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muhim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manfaatdorligi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g‘ridan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bilvosita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uchinchi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nomidan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maʼlumotlarni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yetkazish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064CD906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reputatsiya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risklarini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4D2E6B82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zbekiston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Respublikasi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mazkur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meʼyoriy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ham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08DF3A23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10.10.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huquqlarini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oshirishda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bajarishda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manfaatlarini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ko‘zlab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tutishi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lozim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ushbu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oldida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javobgardir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76C6175F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Agar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ijroiya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yirik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affillangan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buzilganligi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natijasida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zarar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yetkazilgan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lsa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direktorining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yoxud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ishonchli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boshqaruvchining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aybi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qonunchilikda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isbotlansa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kreditorlar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oldidagi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qarzdorligini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qoplash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mol-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mulki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yetarli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majburiyatlari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subsidiar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javobgar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87B7C5E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mazkur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to‘g‘risida”gi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Nizom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45EE882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2BB8E0ED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XI. ICHKI AUDIT XIZMATI</w:t>
      </w:r>
    </w:p>
    <w:p w14:paraId="6E99A210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11.1. 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aktivlarining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balans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qiymati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miqdorining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barobaridan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audit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xizmati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tashkil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audit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xizmati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hisobdordir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6EB21F9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audit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xizmati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xodimlarining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audit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maqsadlariga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samarali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erishish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vazifalarini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yetarli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kerak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korxonaning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sertifikatsiyalangan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ikki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nafar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auditordan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iborat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belgilanadi</w:t>
      </w:r>
      <w:proofErr w:type="spellEnd"/>
    </w:p>
    <w:p w14:paraId="5582FF22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11.2. 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audit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xizmati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quyidagilarni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tekshirish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monitoring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orqali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filiallari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vakolatxonalari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nazorat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baholaydi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1D82A59A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filiallari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vakolatxonalari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rioya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3817CE27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buxgalteriya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moliyaviy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hisobotlarda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maʼlumotlarning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ishonchli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tarzda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ettirilishi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taʼminlanishini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044C7368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operatsiyalarini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oshirishning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qoidalari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tartib-taomillariga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rioya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03F409F8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aktivlarning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saqlanishini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fondidagi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50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foiz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ulush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tegishli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yuridik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o‘tkazilgan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operatsiyalarni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shuningdek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yuzasidan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talablarga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rioya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442F1083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11.3. 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audit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xizmati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ushbu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Yagona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qarori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audit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xizmati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to‘g‘risida”gi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nizomda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5C994BE1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XII. JAMIYAT FAOLIYATINI NAZORAT QILISH</w:t>
      </w:r>
    </w:p>
    <w:p w14:paraId="0000CBDC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39997796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12.1.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moliya-</w:t>
      </w:r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nazorat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muddatga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saylaydi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3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kishidan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iborat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4F8D85F7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12.2. 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talabiga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binoan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moliya-</w:t>
      </w:r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03593F82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12.3. 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qonunchilikka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muvofiq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navbatdan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tashqari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chaqirilishini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talab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haqli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1E60B7D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12.4. 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vaqtning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aʼzosi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bo‘lishlari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shuningdek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organlarida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lavozimlarni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egallashlari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emas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Ayni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ayni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tarkibiga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ketma-ket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uch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martadan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ortiq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saylanishi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mumkin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emas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415362CC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12.5. 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moliya-</w:t>
      </w:r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tekshirish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yig‘ilishining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tashabbusiga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ovoz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beruvchi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kamida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5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foiziga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egalik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qiluvchi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talabiga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oldindan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xabardor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yo‘li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yakunlari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37020247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12.6. 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moliya-</w:t>
      </w:r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tekshirish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yakunlariga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xulosa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xulosada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631E3349" w14:textId="5829533D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boshqa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moliyaviy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rsatilgan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maʼlumotlarning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ishonchliligiga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baho;</w:t>
      </w:r>
    </w:p>
    <w:p w14:paraId="18A25B07" w14:textId="5E34FA23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 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buxgalteriya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yuritish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moliyaviy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hisobotni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buzilganligi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shuningdek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moliya-</w:t>
      </w:r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oshirilayotganda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buzilganligi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faktlari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axborot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ko‘rsatilishi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shart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78AD76A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12.7. 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xulosasi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mazmuniga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shimcha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talablar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476B602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12.8. 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affillangan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shaxslar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yirik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mavjudligi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shuningdek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ichki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bunday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bitimlarni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tuzishga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doir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talablariga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rioya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g‘risidagi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xulosani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chorakda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majlisida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yillik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yig‘ilishida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eshitiladi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9311C8E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12.9. 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mazkur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umumiy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yig‘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“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Taftish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komissiyasi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to‘g‘risida”gi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nizom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mukofot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puli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to‘lanadi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5C214568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12.10. 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hisobdor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korporativ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rioya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etilishi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nazorat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vazifasini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bajaruvchi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korporativ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maslahatchisi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lavozimi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joriy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etiladi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03708E1D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12.11. 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korporativ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maslahatchisining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faoliyati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Jamiyat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Kuzatuv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kengashi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tomonidan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tasdiqlanadigan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nizom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solinadi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0088E28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XIII. YAKUNIY QOIDALAR</w:t>
      </w:r>
    </w:p>
    <w:p w14:paraId="33426109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14915B35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13.1.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yicha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kelib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chiqadigan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barcha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nizo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kelishmovchiliklar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aksiyadorlarning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o‘zaro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kelishuvi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yo‘li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amaldagi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ushbu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asosan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2764B7ED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13.2. 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Nizo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kelishmovchiliklarni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muzokaralar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yo‘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bilan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imkoniyati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bo‘lmagan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taqdirda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tegishli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ravishda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sud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orqali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hal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qilinadi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5DF0D75D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13.3.</w:t>
      </w: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Mazkur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Ustav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unga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kiritilgan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zgartish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qo‘shimchalar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qonun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hujjatlarida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belgilangan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tartibda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davlat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ro‘yxatiga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olingan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vaqtdan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boshlab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kuchga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kiradi</w:t>
      </w:r>
      <w:proofErr w:type="spellEnd"/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7B82E392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6761619B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14:paraId="1DEA6408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“</w:t>
      </w:r>
      <w:proofErr w:type="spellStart"/>
      <w:proofErr w:type="gram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O‘</w:t>
      </w:r>
      <w:proofErr w:type="gram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zbek</w:t>
      </w:r>
      <w:proofErr w:type="spell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geologiya</w:t>
      </w:r>
      <w:proofErr w:type="spell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qidiruv</w:t>
      </w:r>
      <w:proofErr w:type="spell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”</w:t>
      </w:r>
    </w:p>
    <w:p w14:paraId="440C4FE3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  </w:t>
      </w: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aksiyadorlik</w:t>
      </w:r>
      <w:proofErr w:type="spell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jamiyati</w:t>
      </w:r>
      <w:proofErr w:type="spellEnd"/>
    </w:p>
    <w:p w14:paraId="27618E29" w14:textId="77777777" w:rsidR="00C6081A" w:rsidRPr="00C6081A" w:rsidRDefault="00C6081A" w:rsidP="00C60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       </w:t>
      </w: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Boshqaruv</w:t>
      </w:r>
      <w:proofErr w:type="spell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raisi</w:t>
      </w:r>
      <w:proofErr w:type="spell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                                                            </w:t>
      </w: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Alimov</w:t>
      </w:r>
      <w:proofErr w:type="spell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Sh.P</w:t>
      </w:r>
      <w:proofErr w:type="spellEnd"/>
      <w:r w:rsidRPr="00C6081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.</w:t>
      </w:r>
    </w:p>
    <w:p w14:paraId="2B04886D" w14:textId="6CAC5EAC" w:rsidR="0019546C" w:rsidRPr="00C6081A" w:rsidRDefault="0019546C" w:rsidP="00C6081A">
      <w:pPr>
        <w:spacing w:before="120" w:after="120" w:line="276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19546C" w:rsidRPr="00C6081A" w:rsidSect="00AE198B">
      <w:footerReference w:type="default" r:id="rId7"/>
      <w:pgSz w:w="11906" w:h="16838" w:code="9"/>
      <w:pgMar w:top="1134" w:right="851" w:bottom="1134" w:left="170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FA9F" w14:textId="77777777" w:rsidR="00CA7AF8" w:rsidRDefault="00CA7AF8">
      <w:pPr>
        <w:spacing w:after="0" w:line="240" w:lineRule="auto"/>
      </w:pPr>
      <w:r>
        <w:separator/>
      </w:r>
    </w:p>
  </w:endnote>
  <w:endnote w:type="continuationSeparator" w:id="0">
    <w:p w14:paraId="2F32B9C3" w14:textId="77777777" w:rsidR="00CA7AF8" w:rsidRDefault="00CA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287" w:usb1="09060000" w:usb2="0000001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2B33" w14:textId="4BEC9BF3" w:rsidR="00167B1E" w:rsidRPr="006B4FAB" w:rsidRDefault="008D59F9">
    <w:pPr>
      <w:pStyle w:val="aa"/>
      <w:tabs>
        <w:tab w:val="clear" w:pos="4677"/>
        <w:tab w:val="clear" w:pos="9355"/>
      </w:tabs>
      <w:jc w:val="center"/>
      <w:rPr>
        <w:rFonts w:ascii="Times New Roman" w:hAnsi="Times New Roman"/>
        <w:caps/>
        <w:sz w:val="24"/>
        <w:szCs w:val="24"/>
      </w:rPr>
    </w:pPr>
    <w:r w:rsidRPr="006B4FAB">
      <w:rPr>
        <w:rFonts w:ascii="Times New Roman" w:hAnsi="Times New Roman"/>
        <w:caps/>
        <w:sz w:val="24"/>
        <w:szCs w:val="24"/>
      </w:rPr>
      <w:fldChar w:fldCharType="begin"/>
    </w:r>
    <w:r w:rsidRPr="006B4FAB">
      <w:rPr>
        <w:rFonts w:ascii="Times New Roman" w:hAnsi="Times New Roman"/>
        <w:caps/>
        <w:sz w:val="24"/>
        <w:szCs w:val="24"/>
      </w:rPr>
      <w:instrText>PAGE   \* MERGEFORMAT</w:instrText>
    </w:r>
    <w:r w:rsidRPr="006B4FAB">
      <w:rPr>
        <w:rFonts w:ascii="Times New Roman" w:hAnsi="Times New Roman"/>
        <w:caps/>
        <w:sz w:val="24"/>
        <w:szCs w:val="24"/>
      </w:rPr>
      <w:fldChar w:fldCharType="separate"/>
    </w:r>
    <w:r w:rsidR="00354AE7">
      <w:rPr>
        <w:rFonts w:ascii="Times New Roman" w:hAnsi="Times New Roman"/>
        <w:caps/>
        <w:noProof/>
        <w:sz w:val="24"/>
        <w:szCs w:val="24"/>
      </w:rPr>
      <w:t>15</w:t>
    </w:r>
    <w:r w:rsidRPr="006B4FAB">
      <w:rPr>
        <w:rFonts w:ascii="Times New Roman" w:hAnsi="Times New Roman"/>
        <w:caps/>
        <w:sz w:val="24"/>
        <w:szCs w:val="24"/>
      </w:rPr>
      <w:fldChar w:fldCharType="end"/>
    </w:r>
  </w:p>
  <w:p w14:paraId="4724387E" w14:textId="77777777" w:rsidR="00191173" w:rsidRDefault="00CA7A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D0BF" w14:textId="77777777" w:rsidR="00CA7AF8" w:rsidRDefault="00CA7AF8">
      <w:pPr>
        <w:spacing w:after="0" w:line="240" w:lineRule="auto"/>
      </w:pPr>
      <w:r>
        <w:separator/>
      </w:r>
    </w:p>
  </w:footnote>
  <w:footnote w:type="continuationSeparator" w:id="0">
    <w:p w14:paraId="694E9E5B" w14:textId="77777777" w:rsidR="00CA7AF8" w:rsidRDefault="00CA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3F7"/>
    <w:multiLevelType w:val="hybridMultilevel"/>
    <w:tmpl w:val="04C43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2585"/>
    <w:multiLevelType w:val="hybridMultilevel"/>
    <w:tmpl w:val="9CC4BB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5D9"/>
    <w:multiLevelType w:val="hybridMultilevel"/>
    <w:tmpl w:val="E446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D21"/>
    <w:multiLevelType w:val="hybridMultilevel"/>
    <w:tmpl w:val="0A5CDD9E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BFA34A1"/>
    <w:multiLevelType w:val="multilevel"/>
    <w:tmpl w:val="08E0E0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43B59"/>
    <w:multiLevelType w:val="hybridMultilevel"/>
    <w:tmpl w:val="FF9804FC"/>
    <w:lvl w:ilvl="0" w:tplc="0419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15AA5D0E"/>
    <w:multiLevelType w:val="multilevel"/>
    <w:tmpl w:val="3458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9468E"/>
    <w:multiLevelType w:val="multilevel"/>
    <w:tmpl w:val="513AA3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219AC"/>
    <w:multiLevelType w:val="hybridMultilevel"/>
    <w:tmpl w:val="038C75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B073C3"/>
    <w:multiLevelType w:val="multilevel"/>
    <w:tmpl w:val="83B4F5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B1C4C"/>
    <w:multiLevelType w:val="multilevel"/>
    <w:tmpl w:val="7FEE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A201F"/>
    <w:multiLevelType w:val="hybridMultilevel"/>
    <w:tmpl w:val="60702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5F45"/>
    <w:multiLevelType w:val="multilevel"/>
    <w:tmpl w:val="73AC28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F5231"/>
    <w:multiLevelType w:val="multilevel"/>
    <w:tmpl w:val="E7FC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713C3"/>
    <w:multiLevelType w:val="hybridMultilevel"/>
    <w:tmpl w:val="BC127BA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B070CC"/>
    <w:multiLevelType w:val="hybridMultilevel"/>
    <w:tmpl w:val="031ED87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F66D3C"/>
    <w:multiLevelType w:val="multilevel"/>
    <w:tmpl w:val="E8D00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FE289D"/>
    <w:multiLevelType w:val="multilevel"/>
    <w:tmpl w:val="7F485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135566"/>
    <w:multiLevelType w:val="multilevel"/>
    <w:tmpl w:val="004E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737CE8"/>
    <w:multiLevelType w:val="multilevel"/>
    <w:tmpl w:val="697E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82453D"/>
    <w:multiLevelType w:val="hybridMultilevel"/>
    <w:tmpl w:val="0D365052"/>
    <w:lvl w:ilvl="0" w:tplc="041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6C3D286F"/>
    <w:multiLevelType w:val="hybridMultilevel"/>
    <w:tmpl w:val="ACDC268E"/>
    <w:lvl w:ilvl="0" w:tplc="DB1677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95215"/>
    <w:multiLevelType w:val="hybridMultilevel"/>
    <w:tmpl w:val="61F8000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4622557"/>
    <w:multiLevelType w:val="hybridMultilevel"/>
    <w:tmpl w:val="5EA417E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71832F2"/>
    <w:multiLevelType w:val="hybridMultilevel"/>
    <w:tmpl w:val="995E3120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D8BA17DE">
      <w:start w:val="10"/>
      <w:numFmt w:val="bullet"/>
      <w:lvlText w:val="-"/>
      <w:lvlJc w:val="left"/>
      <w:pPr>
        <w:ind w:left="240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9"/>
  </w:num>
  <w:num w:numId="5">
    <w:abstractNumId w:val="18"/>
  </w:num>
  <w:num w:numId="6">
    <w:abstractNumId w:val="17"/>
  </w:num>
  <w:num w:numId="7">
    <w:abstractNumId w:val="4"/>
  </w:num>
  <w:num w:numId="8">
    <w:abstractNumId w:val="16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11"/>
  </w:num>
  <w:num w:numId="16">
    <w:abstractNumId w:val="15"/>
  </w:num>
  <w:num w:numId="17">
    <w:abstractNumId w:val="14"/>
  </w:num>
  <w:num w:numId="18">
    <w:abstractNumId w:val="23"/>
  </w:num>
  <w:num w:numId="19">
    <w:abstractNumId w:val="5"/>
  </w:num>
  <w:num w:numId="20">
    <w:abstractNumId w:val="22"/>
  </w:num>
  <w:num w:numId="21">
    <w:abstractNumId w:val="8"/>
  </w:num>
  <w:num w:numId="22">
    <w:abstractNumId w:val="24"/>
  </w:num>
  <w:num w:numId="23">
    <w:abstractNumId w:val="2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1"/>
    <w:rsid w:val="00020E4B"/>
    <w:rsid w:val="0002354F"/>
    <w:rsid w:val="00030955"/>
    <w:rsid w:val="000327C4"/>
    <w:rsid w:val="0004071F"/>
    <w:rsid w:val="000409C9"/>
    <w:rsid w:val="000454D2"/>
    <w:rsid w:val="000552EE"/>
    <w:rsid w:val="00064BF5"/>
    <w:rsid w:val="00065D19"/>
    <w:rsid w:val="00066C4E"/>
    <w:rsid w:val="00086666"/>
    <w:rsid w:val="00086770"/>
    <w:rsid w:val="000A1A61"/>
    <w:rsid w:val="000A722D"/>
    <w:rsid w:val="000B207E"/>
    <w:rsid w:val="000B59AA"/>
    <w:rsid w:val="000B7992"/>
    <w:rsid w:val="000C346F"/>
    <w:rsid w:val="000D5039"/>
    <w:rsid w:val="000F0B08"/>
    <w:rsid w:val="000F24F0"/>
    <w:rsid w:val="000F3F9A"/>
    <w:rsid w:val="001000DE"/>
    <w:rsid w:val="00110A55"/>
    <w:rsid w:val="00112BED"/>
    <w:rsid w:val="00121667"/>
    <w:rsid w:val="00127242"/>
    <w:rsid w:val="00133F0B"/>
    <w:rsid w:val="00140E0B"/>
    <w:rsid w:val="00142217"/>
    <w:rsid w:val="00147CA9"/>
    <w:rsid w:val="0016622A"/>
    <w:rsid w:val="00166DC2"/>
    <w:rsid w:val="001716BB"/>
    <w:rsid w:val="0017299C"/>
    <w:rsid w:val="00180086"/>
    <w:rsid w:val="001808B8"/>
    <w:rsid w:val="00180C1F"/>
    <w:rsid w:val="001901C5"/>
    <w:rsid w:val="0019546C"/>
    <w:rsid w:val="00197591"/>
    <w:rsid w:val="001B48BC"/>
    <w:rsid w:val="001E0C98"/>
    <w:rsid w:val="001E29E5"/>
    <w:rsid w:val="001F762E"/>
    <w:rsid w:val="00205203"/>
    <w:rsid w:val="0021056D"/>
    <w:rsid w:val="002229D4"/>
    <w:rsid w:val="00222C1D"/>
    <w:rsid w:val="002308B3"/>
    <w:rsid w:val="00253609"/>
    <w:rsid w:val="00253DAD"/>
    <w:rsid w:val="00256E2B"/>
    <w:rsid w:val="00257CF9"/>
    <w:rsid w:val="002651F5"/>
    <w:rsid w:val="00265D1D"/>
    <w:rsid w:val="002A6CE2"/>
    <w:rsid w:val="002B1844"/>
    <w:rsid w:val="002B6440"/>
    <w:rsid w:val="002C1500"/>
    <w:rsid w:val="002C5D47"/>
    <w:rsid w:val="002D21CD"/>
    <w:rsid w:val="002E01A6"/>
    <w:rsid w:val="002F2A17"/>
    <w:rsid w:val="002F2F4B"/>
    <w:rsid w:val="002F6F9F"/>
    <w:rsid w:val="002F7422"/>
    <w:rsid w:val="003033C5"/>
    <w:rsid w:val="0030413D"/>
    <w:rsid w:val="00304DCB"/>
    <w:rsid w:val="003116D9"/>
    <w:rsid w:val="0032477C"/>
    <w:rsid w:val="00324961"/>
    <w:rsid w:val="00346D10"/>
    <w:rsid w:val="00354AE7"/>
    <w:rsid w:val="00354FB8"/>
    <w:rsid w:val="00370048"/>
    <w:rsid w:val="003952BD"/>
    <w:rsid w:val="003B49CC"/>
    <w:rsid w:val="003B6390"/>
    <w:rsid w:val="003C0471"/>
    <w:rsid w:val="003C102F"/>
    <w:rsid w:val="003D2F0B"/>
    <w:rsid w:val="00401DFF"/>
    <w:rsid w:val="00405951"/>
    <w:rsid w:val="00405BC8"/>
    <w:rsid w:val="00413DD2"/>
    <w:rsid w:val="00436C4E"/>
    <w:rsid w:val="00441902"/>
    <w:rsid w:val="00442047"/>
    <w:rsid w:val="0044518A"/>
    <w:rsid w:val="0045393B"/>
    <w:rsid w:val="004563D0"/>
    <w:rsid w:val="004571D0"/>
    <w:rsid w:val="0046355A"/>
    <w:rsid w:val="004649C4"/>
    <w:rsid w:val="004801D2"/>
    <w:rsid w:val="004922CC"/>
    <w:rsid w:val="004A4F33"/>
    <w:rsid w:val="004A5197"/>
    <w:rsid w:val="004B3EC5"/>
    <w:rsid w:val="004B5BF4"/>
    <w:rsid w:val="004C3AF3"/>
    <w:rsid w:val="004C4E12"/>
    <w:rsid w:val="004C5974"/>
    <w:rsid w:val="004D344A"/>
    <w:rsid w:val="004D60D2"/>
    <w:rsid w:val="004D6525"/>
    <w:rsid w:val="004E291F"/>
    <w:rsid w:val="004E75A7"/>
    <w:rsid w:val="00503504"/>
    <w:rsid w:val="00514F0C"/>
    <w:rsid w:val="00515270"/>
    <w:rsid w:val="00524EC0"/>
    <w:rsid w:val="00535C8C"/>
    <w:rsid w:val="0055760B"/>
    <w:rsid w:val="005703D3"/>
    <w:rsid w:val="00570D42"/>
    <w:rsid w:val="00573878"/>
    <w:rsid w:val="005936E6"/>
    <w:rsid w:val="005A37B8"/>
    <w:rsid w:val="005A4276"/>
    <w:rsid w:val="005B2E5D"/>
    <w:rsid w:val="005B52F4"/>
    <w:rsid w:val="005C0709"/>
    <w:rsid w:val="005C53D1"/>
    <w:rsid w:val="005C6026"/>
    <w:rsid w:val="005C64AD"/>
    <w:rsid w:val="00603FA2"/>
    <w:rsid w:val="00624183"/>
    <w:rsid w:val="00626108"/>
    <w:rsid w:val="00631002"/>
    <w:rsid w:val="00632531"/>
    <w:rsid w:val="006368E8"/>
    <w:rsid w:val="00637076"/>
    <w:rsid w:val="00637C8D"/>
    <w:rsid w:val="00647100"/>
    <w:rsid w:val="00671F45"/>
    <w:rsid w:val="00673FED"/>
    <w:rsid w:val="00685651"/>
    <w:rsid w:val="0068658A"/>
    <w:rsid w:val="0068688A"/>
    <w:rsid w:val="006A072C"/>
    <w:rsid w:val="006B4FAB"/>
    <w:rsid w:val="006B6753"/>
    <w:rsid w:val="006D1CDB"/>
    <w:rsid w:val="006E2924"/>
    <w:rsid w:val="006E70C7"/>
    <w:rsid w:val="006F0CD2"/>
    <w:rsid w:val="007135A6"/>
    <w:rsid w:val="007220E1"/>
    <w:rsid w:val="007306E6"/>
    <w:rsid w:val="007443DB"/>
    <w:rsid w:val="00746225"/>
    <w:rsid w:val="00747C8F"/>
    <w:rsid w:val="00762E57"/>
    <w:rsid w:val="00771C01"/>
    <w:rsid w:val="00780415"/>
    <w:rsid w:val="0079584C"/>
    <w:rsid w:val="007A2B1E"/>
    <w:rsid w:val="007C7A84"/>
    <w:rsid w:val="007D3EB6"/>
    <w:rsid w:val="007D64BF"/>
    <w:rsid w:val="007E41BB"/>
    <w:rsid w:val="007F34B8"/>
    <w:rsid w:val="007F7A99"/>
    <w:rsid w:val="00803649"/>
    <w:rsid w:val="00804B2D"/>
    <w:rsid w:val="008329F4"/>
    <w:rsid w:val="008418BE"/>
    <w:rsid w:val="00841E01"/>
    <w:rsid w:val="00853FF7"/>
    <w:rsid w:val="00861B0B"/>
    <w:rsid w:val="0086361A"/>
    <w:rsid w:val="00867DA0"/>
    <w:rsid w:val="0087414A"/>
    <w:rsid w:val="00896890"/>
    <w:rsid w:val="008C3B4E"/>
    <w:rsid w:val="008D59F9"/>
    <w:rsid w:val="008D6A0F"/>
    <w:rsid w:val="008F34EB"/>
    <w:rsid w:val="008F3A3E"/>
    <w:rsid w:val="00902F58"/>
    <w:rsid w:val="0090334E"/>
    <w:rsid w:val="009060AE"/>
    <w:rsid w:val="00907BF8"/>
    <w:rsid w:val="00916533"/>
    <w:rsid w:val="00941D05"/>
    <w:rsid w:val="0094392E"/>
    <w:rsid w:val="00950647"/>
    <w:rsid w:val="00956E0C"/>
    <w:rsid w:val="00975DC2"/>
    <w:rsid w:val="009839BD"/>
    <w:rsid w:val="009851F2"/>
    <w:rsid w:val="00987264"/>
    <w:rsid w:val="00990587"/>
    <w:rsid w:val="009A302F"/>
    <w:rsid w:val="009A5234"/>
    <w:rsid w:val="009A5EF1"/>
    <w:rsid w:val="009A6676"/>
    <w:rsid w:val="009B539C"/>
    <w:rsid w:val="009B774E"/>
    <w:rsid w:val="009C1EB6"/>
    <w:rsid w:val="009C684D"/>
    <w:rsid w:val="009C727A"/>
    <w:rsid w:val="009E7A77"/>
    <w:rsid w:val="009F0A48"/>
    <w:rsid w:val="009F4AD4"/>
    <w:rsid w:val="00A022DC"/>
    <w:rsid w:val="00A02A1F"/>
    <w:rsid w:val="00A17BB9"/>
    <w:rsid w:val="00A21316"/>
    <w:rsid w:val="00A226A8"/>
    <w:rsid w:val="00A4136E"/>
    <w:rsid w:val="00A603F5"/>
    <w:rsid w:val="00A6233B"/>
    <w:rsid w:val="00A7133F"/>
    <w:rsid w:val="00A7476C"/>
    <w:rsid w:val="00A76E3D"/>
    <w:rsid w:val="00A77723"/>
    <w:rsid w:val="00AA5286"/>
    <w:rsid w:val="00AB4BF4"/>
    <w:rsid w:val="00AB4C0B"/>
    <w:rsid w:val="00AC3ECB"/>
    <w:rsid w:val="00AE198B"/>
    <w:rsid w:val="00AE598C"/>
    <w:rsid w:val="00AE6EAA"/>
    <w:rsid w:val="00AF4124"/>
    <w:rsid w:val="00AF55D4"/>
    <w:rsid w:val="00B05018"/>
    <w:rsid w:val="00B10D51"/>
    <w:rsid w:val="00B23982"/>
    <w:rsid w:val="00B34414"/>
    <w:rsid w:val="00B920D3"/>
    <w:rsid w:val="00BA07B3"/>
    <w:rsid w:val="00BA0B86"/>
    <w:rsid w:val="00BA77BE"/>
    <w:rsid w:val="00BD4F95"/>
    <w:rsid w:val="00BE3CDD"/>
    <w:rsid w:val="00BF1C7C"/>
    <w:rsid w:val="00C04F26"/>
    <w:rsid w:val="00C117A4"/>
    <w:rsid w:val="00C144F8"/>
    <w:rsid w:val="00C2073F"/>
    <w:rsid w:val="00C24A0A"/>
    <w:rsid w:val="00C32526"/>
    <w:rsid w:val="00C357B4"/>
    <w:rsid w:val="00C35B1F"/>
    <w:rsid w:val="00C41CA6"/>
    <w:rsid w:val="00C44652"/>
    <w:rsid w:val="00C50756"/>
    <w:rsid w:val="00C6081A"/>
    <w:rsid w:val="00C81D3E"/>
    <w:rsid w:val="00C8217C"/>
    <w:rsid w:val="00C83BFA"/>
    <w:rsid w:val="00C94334"/>
    <w:rsid w:val="00C94C39"/>
    <w:rsid w:val="00CA7AF8"/>
    <w:rsid w:val="00CC1994"/>
    <w:rsid w:val="00CD14C1"/>
    <w:rsid w:val="00CD2263"/>
    <w:rsid w:val="00CE1A5F"/>
    <w:rsid w:val="00CE22F0"/>
    <w:rsid w:val="00CE7F34"/>
    <w:rsid w:val="00CF1453"/>
    <w:rsid w:val="00D03280"/>
    <w:rsid w:val="00D03610"/>
    <w:rsid w:val="00D3240B"/>
    <w:rsid w:val="00D45974"/>
    <w:rsid w:val="00D66DDD"/>
    <w:rsid w:val="00D773B3"/>
    <w:rsid w:val="00D92FAB"/>
    <w:rsid w:val="00DA032B"/>
    <w:rsid w:val="00DA5841"/>
    <w:rsid w:val="00DB6DE4"/>
    <w:rsid w:val="00DD2A4B"/>
    <w:rsid w:val="00DD78A8"/>
    <w:rsid w:val="00DE60C2"/>
    <w:rsid w:val="00DE69C2"/>
    <w:rsid w:val="00DE7B0E"/>
    <w:rsid w:val="00DF22AC"/>
    <w:rsid w:val="00E03B30"/>
    <w:rsid w:val="00E03F75"/>
    <w:rsid w:val="00E07DB6"/>
    <w:rsid w:val="00E26A49"/>
    <w:rsid w:val="00E34724"/>
    <w:rsid w:val="00E446FC"/>
    <w:rsid w:val="00E44F21"/>
    <w:rsid w:val="00E46D01"/>
    <w:rsid w:val="00E50F79"/>
    <w:rsid w:val="00E61567"/>
    <w:rsid w:val="00E71C0D"/>
    <w:rsid w:val="00E83DE1"/>
    <w:rsid w:val="00E85A73"/>
    <w:rsid w:val="00E912A8"/>
    <w:rsid w:val="00E939AB"/>
    <w:rsid w:val="00EA12C5"/>
    <w:rsid w:val="00EA2F20"/>
    <w:rsid w:val="00EA3A5E"/>
    <w:rsid w:val="00EA412F"/>
    <w:rsid w:val="00EB0622"/>
    <w:rsid w:val="00EB53D1"/>
    <w:rsid w:val="00EB6469"/>
    <w:rsid w:val="00EB694D"/>
    <w:rsid w:val="00EB6B57"/>
    <w:rsid w:val="00ED0F41"/>
    <w:rsid w:val="00ED1821"/>
    <w:rsid w:val="00ED4D86"/>
    <w:rsid w:val="00EE15D9"/>
    <w:rsid w:val="00EE7E0A"/>
    <w:rsid w:val="00EF69A2"/>
    <w:rsid w:val="00EF7B90"/>
    <w:rsid w:val="00F029B0"/>
    <w:rsid w:val="00F054C9"/>
    <w:rsid w:val="00F31890"/>
    <w:rsid w:val="00F40009"/>
    <w:rsid w:val="00F4496D"/>
    <w:rsid w:val="00F46EFF"/>
    <w:rsid w:val="00F642B4"/>
    <w:rsid w:val="00F666AA"/>
    <w:rsid w:val="00F7215B"/>
    <w:rsid w:val="00F7482E"/>
    <w:rsid w:val="00F8322B"/>
    <w:rsid w:val="00F85A76"/>
    <w:rsid w:val="00F86E73"/>
    <w:rsid w:val="00F928C8"/>
    <w:rsid w:val="00F94192"/>
    <w:rsid w:val="00FB4B87"/>
    <w:rsid w:val="00FC07D3"/>
    <w:rsid w:val="00FC2560"/>
    <w:rsid w:val="00FD7705"/>
    <w:rsid w:val="00FE57A8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A604"/>
  <w15:docId w15:val="{2B8A1E06-F195-4E04-8674-670FE6CA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5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253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2531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53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2531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styleId="a3">
    <w:name w:val="Strong"/>
    <w:uiPriority w:val="22"/>
    <w:qFormat/>
    <w:rsid w:val="00632531"/>
    <w:rPr>
      <w:b/>
      <w:bCs/>
    </w:rPr>
  </w:style>
  <w:style w:type="paragraph" w:styleId="a4">
    <w:name w:val="Normal (Web)"/>
    <w:basedOn w:val="a"/>
    <w:uiPriority w:val="99"/>
    <w:unhideWhenUsed/>
    <w:rsid w:val="00632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632531"/>
    <w:rPr>
      <w:i/>
      <w:iCs/>
    </w:rPr>
  </w:style>
  <w:style w:type="character" w:customStyle="1" w:styleId="a6">
    <w:name w:val="Основной текст_"/>
    <w:link w:val="21"/>
    <w:rsid w:val="00632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63253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styleId="a7">
    <w:name w:val="Hyperlink"/>
    <w:uiPriority w:val="99"/>
    <w:unhideWhenUsed/>
    <w:rsid w:val="00632531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6325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53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325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531"/>
    <w:rPr>
      <w:rFonts w:ascii="Calibri" w:eastAsia="Calibri" w:hAnsi="Calibri" w:cs="Times New Roman"/>
    </w:rPr>
  </w:style>
  <w:style w:type="character" w:styleId="ac">
    <w:name w:val="line number"/>
    <w:uiPriority w:val="99"/>
    <w:semiHidden/>
    <w:unhideWhenUsed/>
    <w:rsid w:val="00632531"/>
  </w:style>
  <w:style w:type="paragraph" w:styleId="ad">
    <w:name w:val="Balloon Text"/>
    <w:basedOn w:val="a"/>
    <w:link w:val="ae"/>
    <w:uiPriority w:val="99"/>
    <w:semiHidden/>
    <w:unhideWhenUsed/>
    <w:rsid w:val="0063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253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41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F94192"/>
    <w:pPr>
      <w:ind w:left="720"/>
      <w:contextualSpacing/>
    </w:pPr>
  </w:style>
  <w:style w:type="table" w:styleId="af0">
    <w:name w:val="Table Grid"/>
    <w:basedOn w:val="a1"/>
    <w:uiPriority w:val="59"/>
    <w:rsid w:val="0026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5)_"/>
    <w:link w:val="250"/>
    <w:rsid w:val="005936E6"/>
    <w:rPr>
      <w:rFonts w:ascii="Gulim" w:eastAsia="Gulim" w:hAnsi="Gulim" w:cs="Gulim"/>
      <w:sz w:val="19"/>
      <w:szCs w:val="19"/>
      <w:shd w:val="clear" w:color="auto" w:fill="FFFFFF"/>
    </w:rPr>
  </w:style>
  <w:style w:type="character" w:customStyle="1" w:styleId="259pt">
    <w:name w:val="Основной текст (25) + 9 pt"/>
    <w:rsid w:val="005936E6"/>
    <w:rPr>
      <w:rFonts w:ascii="Gulim" w:eastAsia="Gulim" w:hAnsi="Gulim" w:cs="Gulim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50">
    <w:name w:val="Основной текст (25)"/>
    <w:basedOn w:val="a"/>
    <w:link w:val="25"/>
    <w:rsid w:val="005936E6"/>
    <w:pPr>
      <w:widowControl w:val="0"/>
      <w:shd w:val="clear" w:color="auto" w:fill="FFFFFF"/>
      <w:spacing w:after="0" w:line="235" w:lineRule="exact"/>
      <w:ind w:hanging="640"/>
      <w:jc w:val="right"/>
    </w:pPr>
    <w:rPr>
      <w:rFonts w:ascii="Gulim" w:eastAsia="Gulim" w:hAnsi="Gulim" w:cs="Gulim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6924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Кулдошев Миршод Муродулло угли</cp:lastModifiedBy>
  <cp:revision>2</cp:revision>
  <cp:lastPrinted>2022-08-18T13:10:00Z</cp:lastPrinted>
  <dcterms:created xsi:type="dcterms:W3CDTF">2024-02-20T05:53:00Z</dcterms:created>
  <dcterms:modified xsi:type="dcterms:W3CDTF">2024-02-20T05:53:00Z</dcterms:modified>
</cp:coreProperties>
</file>